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42" w:type="dxa"/>
        <w:tblInd w:w="-567" w:type="dxa"/>
        <w:tblLook w:val="04A0" w:firstRow="1" w:lastRow="0" w:firstColumn="1" w:lastColumn="0" w:noHBand="0" w:noVBand="1"/>
      </w:tblPr>
      <w:tblGrid>
        <w:gridCol w:w="1079"/>
        <w:gridCol w:w="2844"/>
        <w:gridCol w:w="1657"/>
        <w:gridCol w:w="829"/>
        <w:gridCol w:w="829"/>
        <w:gridCol w:w="940"/>
        <w:gridCol w:w="1296"/>
        <w:gridCol w:w="4238"/>
        <w:gridCol w:w="574"/>
        <w:gridCol w:w="1414"/>
        <w:gridCol w:w="93"/>
        <w:gridCol w:w="178"/>
        <w:gridCol w:w="271"/>
      </w:tblGrid>
      <w:tr w:rsidR="00BB70D5" w:rsidRPr="00BB70D5" w:rsidTr="005547B9">
        <w:trPr>
          <w:gridAfter w:val="2"/>
          <w:wAfter w:w="449" w:type="dxa"/>
          <w:trHeight w:val="912"/>
        </w:trPr>
        <w:tc>
          <w:tcPr>
            <w:tcW w:w="15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0D5" w:rsidRPr="00BB70D5" w:rsidRDefault="00BB70D5" w:rsidP="00BB70D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мероприятий («дорожная карта») по улучшению показателей результативности, </w:t>
            </w:r>
            <w:r w:rsidRPr="00BB7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характеризующих социально-экономическое развитие, оценку эффективности деятельности органов местного самоуправления </w:t>
            </w:r>
          </w:p>
        </w:tc>
      </w:tr>
      <w:tr w:rsidR="00BB70D5" w:rsidRPr="00BB70D5" w:rsidTr="005547B9">
        <w:trPr>
          <w:gridAfter w:val="2"/>
          <w:wAfter w:w="449" w:type="dxa"/>
          <w:trHeight w:val="583"/>
        </w:trPr>
        <w:tc>
          <w:tcPr>
            <w:tcW w:w="15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по муниципальному образованию городской округ </w:t>
            </w:r>
            <w:proofErr w:type="spellStart"/>
            <w:r w:rsidRPr="00BB7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Пыть-Ях</w:t>
            </w:r>
            <w:proofErr w:type="spellEnd"/>
            <w:r w:rsidRPr="00BB7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за 1 полугодие 2023 года</w:t>
            </w:r>
          </w:p>
        </w:tc>
      </w:tr>
      <w:tr w:rsidR="00617DF2" w:rsidRPr="00BB70D5" w:rsidTr="005547B9">
        <w:trPr>
          <w:trHeight w:val="298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0D5" w:rsidRPr="00BB70D5" w:rsidTr="005547B9">
        <w:trPr>
          <w:gridAfter w:val="2"/>
          <w:wAfter w:w="449" w:type="dxa"/>
          <w:trHeight w:val="313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в докладе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на 01.07.2023</w:t>
            </w:r>
          </w:p>
        </w:tc>
        <w:tc>
          <w:tcPr>
            <w:tcW w:w="4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2023 год</w:t>
            </w:r>
          </w:p>
        </w:tc>
        <w:tc>
          <w:tcPr>
            <w:tcW w:w="2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617DF2" w:rsidRPr="00BB70D5" w:rsidTr="005547B9">
        <w:trPr>
          <w:gridAfter w:val="2"/>
          <w:wAfter w:w="449" w:type="dxa"/>
          <w:trHeight w:val="456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B70D5" w:rsidRPr="00BB70D5" w:rsidTr="005547B9">
        <w:trPr>
          <w:gridAfter w:val="2"/>
          <w:wAfter w:w="449" w:type="dxa"/>
          <w:trHeight w:val="313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Экономическое развитие</w:t>
            </w:r>
          </w:p>
        </w:tc>
      </w:tr>
      <w:tr w:rsidR="00BB70D5" w:rsidRPr="00BB70D5" w:rsidTr="005547B9">
        <w:trPr>
          <w:gridAfter w:val="2"/>
          <w:wAfter w:w="449" w:type="dxa"/>
          <w:trHeight w:val="3054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1*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5547B9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  <w:bookmarkStart w:id="0" w:name="_GoBack"/>
            <w:bookmarkEnd w:id="0"/>
            <w:r w:rsidR="00BB70D5" w:rsidRPr="00BB70D5">
              <w:rPr>
                <w:rFonts w:ascii="Calibri" w:eastAsia="Times New Roman" w:hAnsi="Calibri" w:cs="Times New Roman"/>
                <w:lang w:eastAsia="ru-RU"/>
              </w:rPr>
              <w:t>358,8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5547B9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  <w:r w:rsidR="00BB70D5" w:rsidRPr="00BB70D5">
              <w:rPr>
                <w:rFonts w:ascii="Calibri" w:eastAsia="Times New Roman" w:hAnsi="Calibri" w:cs="Times New Roman"/>
                <w:lang w:eastAsia="ru-RU"/>
              </w:rPr>
              <w:t>357,8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358,5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374,5</w:t>
            </w:r>
          </w:p>
        </w:tc>
        <w:tc>
          <w:tcPr>
            <w:tcW w:w="4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По предварительным данным запланированный показатель на 2023 год по состоянию на 01.07.2023 года достигнут, уровень достижения показателя к 2022г. - 104,7%; к плану 2023г. - 104,5%. Показатель оценивается по итогам года.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рамках реализации муниципальной программы «Развитие экономического потенциала города </w:t>
            </w:r>
            <w:proofErr w:type="spellStart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Пыть-Яха</w:t>
            </w:r>
            <w:proofErr w:type="spellEnd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»: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1) оказана информационно-консультационная поддержка по 103 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обращениям от субъектов малого предпринимательства и физических лиц.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2) за отчетный период проведено 2 заседания Координационного совета по вопросам развития малого и среднего предпринимательства в городе </w:t>
            </w:r>
            <w:proofErr w:type="spellStart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Пыть-Яхе</w:t>
            </w:r>
            <w:proofErr w:type="spellEnd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 и 1 совместное заседание координационного совета по вопросам развития малого и среднего предпринимательства города </w:t>
            </w:r>
            <w:proofErr w:type="spellStart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Пыть-Яха</w:t>
            </w:r>
            <w:proofErr w:type="spellEnd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 и координационного совета по вопросам развития инвестиционной деятельности МО г. </w:t>
            </w:r>
            <w:proofErr w:type="spellStart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Пыть-Ях</w:t>
            </w:r>
            <w:proofErr w:type="spellEnd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3) в период с 22.05.2023г. по 26.05.2023г. на территории города прошла неделя, посвященная Дню российского предпринимательства, в рамках которой прошли следующие мероприятия для </w:t>
            </w:r>
            <w:proofErr w:type="spellStart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самозанятых</w:t>
            </w:r>
            <w:proofErr w:type="spellEnd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, потенциальных и действующих предпринимателей города: 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круглый стол по тематике социального и креативного предпринимательства; 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круглый стол на тему «Молодежное предпринимательство: как начать свое дело?»; 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 интерактивное обучение на тему «Публичные выступления, коммуникации и формирование первого впечатления»; 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br/>
              <w:t>- бизнес-</w:t>
            </w:r>
            <w:proofErr w:type="spellStart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квиз</w:t>
            </w:r>
            <w:proofErr w:type="spellEnd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 (викторина для предпринимателей).</w:t>
            </w:r>
          </w:p>
        </w:tc>
        <w:tc>
          <w:tcPr>
            <w:tcW w:w="208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 по экономике</w:t>
            </w:r>
          </w:p>
        </w:tc>
      </w:tr>
      <w:tr w:rsidR="00617DF2" w:rsidRPr="00BB70D5" w:rsidTr="005547B9">
        <w:trPr>
          <w:gridAfter w:val="2"/>
          <w:wAfter w:w="449" w:type="dxa"/>
          <w:trHeight w:val="405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2*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24,1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26,1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26,3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25,8</w:t>
            </w:r>
          </w:p>
        </w:tc>
        <w:tc>
          <w:tcPr>
            <w:tcW w:w="43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0D5" w:rsidRPr="00BB70D5" w:rsidTr="005547B9">
        <w:trPr>
          <w:gridAfter w:val="2"/>
          <w:wAfter w:w="449" w:type="dxa"/>
          <w:trHeight w:val="3264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3*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53 711,0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97 988,0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64 981,2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41 561,1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достижения показателя к 2022г. - 42,4%; к плану 2023г. – 64%. Показатель оценивается по итогам года.                                                                                                           В 1 полугодии 2023 года осуществлялась реализация масштабных инвестиционных проектов, в том числе строительство производственной базы ООО "ЭКОТОН", строительство цеха по выпуску бурильных труб ООО "Тюбинг-Транс". Инвестором АО «ЮТЭК-РС» продолжалась реализация инвестиционной программы по г. </w:t>
            </w:r>
            <w:proofErr w:type="spellStart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Пыть-Ях</w:t>
            </w:r>
            <w:proofErr w:type="spellEnd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 на 2023-2027гг. В июне 2023 г </w:t>
            </w:r>
            <w:r w:rsidR="005547B9" w:rsidRPr="00BB70D5">
              <w:rPr>
                <w:rFonts w:ascii="Times New Roman" w:eastAsia="Times New Roman" w:hAnsi="Times New Roman" w:cs="Times New Roman"/>
                <w:lang w:eastAsia="ru-RU"/>
              </w:rPr>
              <w:t>завершен совместный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 инвестиционный проект, заключенный между администрацией г. </w:t>
            </w:r>
            <w:proofErr w:type="spellStart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Пыть-Яха</w:t>
            </w:r>
            <w:proofErr w:type="spellEnd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 и АО "ЮТЭК-РС". Продолжается реализация концессионного соглашения по модернизации уличного освещения города. 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Управление по экономике</w:t>
            </w:r>
          </w:p>
        </w:tc>
      </w:tr>
      <w:tr w:rsidR="00BB70D5" w:rsidRPr="00BB70D5" w:rsidTr="005547B9">
        <w:trPr>
          <w:gridAfter w:val="2"/>
          <w:wAfter w:w="449" w:type="dxa"/>
          <w:trHeight w:val="242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5547B9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  <w:r w:rsidR="00BB70D5" w:rsidRPr="00BB70D5">
              <w:rPr>
                <w:rFonts w:ascii="Calibri" w:eastAsia="Times New Roman" w:hAnsi="Calibri" w:cs="Times New Roman"/>
                <w:lang w:eastAsia="ru-RU"/>
              </w:rPr>
              <w:t>99,93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5547B9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BB70D5" w:rsidRPr="00BB70D5">
              <w:rPr>
                <w:rFonts w:ascii="Calibri" w:eastAsia="Times New Roman" w:hAnsi="Calibri" w:cs="Times New Roman"/>
                <w:lang w:eastAsia="ru-RU"/>
              </w:rPr>
              <w:t>99,93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99,93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99,93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Запланированный показатель на 2023 год достигнут, уровень достижения показателя к 2022г. - 100%. В 1 полугодии 2023 года заключено 32 договора купли-продажи земельных участков площадью 3,0 га, предоставлено в собственность бесплатно 7 земельных участков (садоводство) - 0,56 га, прекращено право постоянного (</w:t>
            </w:r>
            <w:r w:rsidR="005547B9" w:rsidRPr="00BB70D5">
              <w:rPr>
                <w:rFonts w:ascii="Times New Roman" w:eastAsia="Times New Roman" w:hAnsi="Times New Roman" w:cs="Times New Roman"/>
                <w:lang w:eastAsia="ru-RU"/>
              </w:rPr>
              <w:t>бессрочного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) пользования в отношении 8 земельных участков площадью 16,5 га, предоставлено в постоянное (бессрочное) пользование 2 земельных участка площадью 0,8 га. Все предоставленные земельные участки являются объектами налогообложения.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Управление архитектуры и градостроительства</w:t>
            </w:r>
          </w:p>
        </w:tc>
      </w:tr>
      <w:tr w:rsidR="00BB70D5" w:rsidRPr="00BB70D5" w:rsidTr="005547B9">
        <w:trPr>
          <w:gridAfter w:val="2"/>
          <w:wAfter w:w="449" w:type="dxa"/>
          <w:trHeight w:val="598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Сельскохозяйственные организации на территории города не зарегистрированы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Управление по экономике</w:t>
            </w:r>
          </w:p>
        </w:tc>
      </w:tr>
      <w:tr w:rsidR="00BB70D5" w:rsidRPr="00BB70D5" w:rsidTr="005547B9">
        <w:trPr>
          <w:gridAfter w:val="2"/>
          <w:wAfter w:w="449" w:type="dxa"/>
          <w:trHeight w:val="160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Управление по жилищно-коммунальному комплексу, транспорту и дорогам</w:t>
            </w:r>
          </w:p>
        </w:tc>
      </w:tr>
      <w:tr w:rsidR="00BB70D5" w:rsidRPr="00BB70D5" w:rsidTr="005547B9">
        <w:trPr>
          <w:gridAfter w:val="2"/>
          <w:wAfter w:w="449" w:type="dxa"/>
          <w:trHeight w:val="1796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Население города </w:t>
            </w:r>
            <w:proofErr w:type="spellStart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Пыть-Яха</w:t>
            </w:r>
            <w:proofErr w:type="spellEnd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обеспечено регулярным автобусным сообщением.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Управление по жилищно-коммунальному комплексу, транспорту и дорогам</w:t>
            </w:r>
          </w:p>
        </w:tc>
      </w:tr>
      <w:tr w:rsidR="00BB70D5" w:rsidRPr="00BB70D5" w:rsidTr="005547B9">
        <w:trPr>
          <w:gridAfter w:val="2"/>
          <w:wAfter w:w="449" w:type="dxa"/>
          <w:trHeight w:val="89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9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70D5" w:rsidRPr="00BB70D5" w:rsidTr="005547B9">
        <w:trPr>
          <w:gridAfter w:val="2"/>
          <w:wAfter w:w="449" w:type="dxa"/>
          <w:trHeight w:val="594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8.1.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76 026,3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85 432,4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88 849,7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   87 471,0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методике расчета, источником информации является Росстат. Статистическая информация по состоянию на 01.07.2023г. отсутствует, по состоянию на 01.04.2023г.- 87 471 рублей.  Уровень достижения показателя к 2022г. – 104,0%, к плану 2023г.- 98,5%.                                                                                                                    В отчётном периоде проведено:                                                                                    - 3 заседания рабочей группы по стабилизации городского рынка труда при трехсторонней комиссии по регулированию социально – трудовых отношений, рассмотрено 11 вопросов;</w:t>
            </w:r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- 5 заседаний рабочей группы по рассмотрению проектов муниципальных нормативных правовых актов, призванных регулировать отношения в сфере труда, при муниципальной трехсторонней комиссии по регулированию социально – трудовых отношений, рассмотрено 10 вопросов;</w:t>
            </w:r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- 1 заседание рабочей группы по снижению неформальной занятости,  легализации "теневой" заработной платы, повышению собираемости страховых взносов во внебюджетные фонды, рассмотрен 1 вопрос.                                                                                                                                                                                                                За 1 полугодие 2023 легализовано трудовых отношений с 132 работниками в хозяйствующих субъектах всех организационно - правовых форм собственности.    </w:t>
            </w:r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Организована работа телефона горячей линии (тел. 8 (3463) 46-55-77).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Управление по экономике</w:t>
            </w:r>
          </w:p>
        </w:tc>
      </w:tr>
      <w:tr w:rsidR="00BB70D5" w:rsidRPr="00BB70D5" w:rsidTr="005547B9">
        <w:trPr>
          <w:gridAfter w:val="2"/>
          <w:wAfter w:w="449" w:type="dxa"/>
          <w:trHeight w:val="93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52 049,3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56 580,1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58 843,3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63 807,2</w:t>
            </w:r>
          </w:p>
        </w:tc>
        <w:tc>
          <w:tcPr>
            <w:tcW w:w="4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В целях исполнения перечня поручений Президента Российской Федерации от 26.02.2019 № ПР-294 (подпункт ж пункта 6) обеспечивается контроль за сохранением достигнутого соотношения между уровнем оплаты труда отдельных категорий работников бюджетной сферы и уровнем средней заработной платы в соответствующем регионе. В соответствии с Указом Президента РФ от 7 мая 2012 года № 597 "О мероприятиях по реализации государственной социальной политики" приняты и реализуются меры по поэтапному достижению целевых ориентиров повышения заработной платы отдельным категориям работников сферы образования. Показатели достигаются по итогам года. Причина отклонения: начисление отпускных и единовременных выплат к отпуску.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образованию </w:t>
            </w:r>
          </w:p>
        </w:tc>
      </w:tr>
      <w:tr w:rsidR="00617DF2" w:rsidRPr="00BB70D5" w:rsidTr="005547B9">
        <w:trPr>
          <w:gridAfter w:val="2"/>
          <w:wAfter w:w="449" w:type="dxa"/>
          <w:trHeight w:val="946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8.3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64 736,5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75 703,6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78 731,7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96 747,0</w:t>
            </w:r>
          </w:p>
        </w:tc>
        <w:tc>
          <w:tcPr>
            <w:tcW w:w="43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образованию </w:t>
            </w:r>
          </w:p>
        </w:tc>
      </w:tr>
      <w:tr w:rsidR="00617DF2" w:rsidRPr="00BB70D5" w:rsidTr="005547B9">
        <w:trPr>
          <w:gridAfter w:val="2"/>
          <w:wAfter w:w="449" w:type="dxa"/>
          <w:trHeight w:val="1586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8.4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88 544,4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100 114,6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104 119,2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140 566,3</w:t>
            </w:r>
          </w:p>
        </w:tc>
        <w:tc>
          <w:tcPr>
            <w:tcW w:w="43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образованию </w:t>
            </w:r>
          </w:p>
        </w:tc>
      </w:tr>
      <w:tr w:rsidR="00BB70D5" w:rsidRPr="00BB70D5" w:rsidTr="005547B9">
        <w:trPr>
          <w:gridAfter w:val="2"/>
          <w:wAfter w:w="449" w:type="dxa"/>
          <w:trHeight w:val="98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Рубль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66 630,4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74 733,8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81 895,9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97 843,5</w:t>
            </w:r>
          </w:p>
        </w:tc>
        <w:tc>
          <w:tcPr>
            <w:tcW w:w="4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 по итогам первого полугодия 2023 года связано с начислением отпускных и единовременных выплат к отпуску, начисленных работникам учреждения преимущественно во 2 квартале 2023 года. По итогам 2023 года превышение показателя будет устранено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по культуре и спорту</w:t>
            </w:r>
          </w:p>
        </w:tc>
      </w:tr>
      <w:tr w:rsidR="00617DF2" w:rsidRPr="00BB70D5" w:rsidTr="005547B9">
        <w:trPr>
          <w:gridAfter w:val="2"/>
          <w:wAfter w:w="449" w:type="dxa"/>
          <w:trHeight w:val="116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Рубль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59 164,6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67 444,3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71 153,7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81 849,1</w:t>
            </w:r>
          </w:p>
        </w:tc>
        <w:tc>
          <w:tcPr>
            <w:tcW w:w="43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по культуре и спорту</w:t>
            </w:r>
          </w:p>
        </w:tc>
      </w:tr>
      <w:tr w:rsidR="00BB70D5" w:rsidRPr="00BB70D5" w:rsidTr="005547B9">
        <w:trPr>
          <w:gridAfter w:val="2"/>
          <w:wAfter w:w="449" w:type="dxa"/>
          <w:trHeight w:val="298"/>
        </w:trPr>
        <w:tc>
          <w:tcPr>
            <w:tcW w:w="15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Дошкольное образование</w:t>
            </w:r>
          </w:p>
        </w:tc>
      </w:tr>
      <w:tr w:rsidR="00BB70D5" w:rsidRPr="00BB70D5" w:rsidTr="005547B9">
        <w:trPr>
          <w:gridAfter w:val="2"/>
          <w:wAfter w:w="449" w:type="dxa"/>
          <w:trHeight w:val="417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    64,9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    68,2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    68,2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    68,5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По состоянию на 01.07.2023 года уровень достижения показателя к 2022г. - 100,4%; к плану 2023г. - 100,4%.                                                                         Численность детей в возрасте 1 - 6 лет, получающих дошкольную образовательную услугу и (или) услугу по их содержанию в муниципальных образовательных учреждениях на 01.07.2023 составляет 2 296 человек. Общая численность детей в возрасте 1-6 лет по состоянию на 01.07.2023г. - 3 354 человека.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br/>
              <w:t>Управлением по образованию проведен ряд разъяснительных мероприятий по вовлечению детей в дошкольные образовательные учреждения в более раннем возрасте; проведены Дни открытых дверей для родителей детей в возрасте до 3-х лет. На базе МДОАУ д/с «Золотой ключик» с февраля 2023 года открыта группа для детей с 2 месяцев. Группа на сегодняшний день востребована. Самый ранний возраст ребенка на момент зачисления в группу – 6 месяцев.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образованию </w:t>
            </w:r>
          </w:p>
        </w:tc>
      </w:tr>
      <w:tr w:rsidR="00BB70D5" w:rsidRPr="00BB70D5" w:rsidTr="005547B9">
        <w:trPr>
          <w:gridAfter w:val="2"/>
          <w:wAfter w:w="449" w:type="dxa"/>
          <w:trHeight w:val="1496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10*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По состоянию на 01.07.2023 года уровень достижения показателя к 2022г. - 100%; к плану 2023г. - 100</w:t>
            </w:r>
            <w:proofErr w:type="gramStart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%.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br/>
              <w:t>Все</w:t>
            </w:r>
            <w:proofErr w:type="gramEnd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 дети в возрасте 1-6 лет на 100% обеспечены местами в муниципальных дошкольных образовательных учреждениях.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образованию </w:t>
            </w:r>
          </w:p>
        </w:tc>
      </w:tr>
      <w:tr w:rsidR="00BB70D5" w:rsidRPr="00BB70D5" w:rsidTr="005547B9">
        <w:trPr>
          <w:gridAfter w:val="2"/>
          <w:wAfter w:w="449" w:type="dxa"/>
          <w:trHeight w:val="122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Здания дошкольных образовательных учреждений, находящиеся в аварийном состоянии, </w:t>
            </w:r>
            <w:proofErr w:type="gramStart"/>
            <w:r w:rsidR="005547B9"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отсутствуют.  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образованию </w:t>
            </w:r>
          </w:p>
        </w:tc>
      </w:tr>
      <w:tr w:rsidR="00BB70D5" w:rsidRPr="00BB70D5" w:rsidTr="005547B9">
        <w:trPr>
          <w:gridAfter w:val="2"/>
          <w:wAfter w:w="449" w:type="dxa"/>
          <w:trHeight w:val="298"/>
        </w:trPr>
        <w:tc>
          <w:tcPr>
            <w:tcW w:w="15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Общее и дополнительное образование</w:t>
            </w:r>
          </w:p>
        </w:tc>
      </w:tr>
      <w:tr w:rsidR="00BB70D5" w:rsidRPr="00BB70D5" w:rsidTr="005547B9">
        <w:trPr>
          <w:gridAfter w:val="2"/>
          <w:wAfter w:w="449" w:type="dxa"/>
          <w:trHeight w:val="128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0,4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Информация будет предоставлена по итогам 9 месяцев 2023 года.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образованию </w:t>
            </w:r>
          </w:p>
        </w:tc>
      </w:tr>
      <w:tr w:rsidR="00BB70D5" w:rsidRPr="00BB70D5" w:rsidTr="005547B9">
        <w:trPr>
          <w:gridAfter w:val="2"/>
          <w:wAfter w:w="449" w:type="dxa"/>
          <w:trHeight w:val="125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13*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96,4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95,8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95,8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95,8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По состоянию на 01.07.2023 года уровень достижения показателя к 2022г. - 100%; к плану 2023г. - 100,0%. Показатель является комплексным, состоит из 16 показателей расчета. 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образованию </w:t>
            </w:r>
          </w:p>
        </w:tc>
      </w:tr>
      <w:tr w:rsidR="00BB70D5" w:rsidRPr="00BB70D5" w:rsidTr="005547B9">
        <w:trPr>
          <w:gridAfter w:val="2"/>
          <w:wAfter w:w="449" w:type="dxa"/>
          <w:trHeight w:val="1406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Здания общеобразовательных учреждений, находящиеся в аварийном состоянии, </w:t>
            </w:r>
            <w:proofErr w:type="gramStart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отсутствуют.   </w:t>
            </w:r>
            <w:proofErr w:type="gramEnd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образованию </w:t>
            </w:r>
          </w:p>
        </w:tc>
      </w:tr>
      <w:tr w:rsidR="00BB70D5" w:rsidRPr="00BB70D5" w:rsidTr="005547B9">
        <w:trPr>
          <w:gridAfter w:val="2"/>
          <w:wAfter w:w="449" w:type="dxa"/>
          <w:trHeight w:val="260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80,8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86,6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90,1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Данный показатель не относится к сфере деятельности "Образование", проводится оценка ведомством "Здравоохранение" по итогам года. Данные на 01.07.2023 отсутствуют. 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br/>
              <w:t>Для улучшения показателя образовательными организациями принимаются меры: вакцинация обучающихся, витаминизация, разработаны и утверждены планы мероприятий, направленные на сохранение и укрепление здоровья обучающихся, обеспечен ежедневный контроль за мониторингом заболеваемости, своевременное проведение карантинных мероприятий.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образованию </w:t>
            </w:r>
          </w:p>
        </w:tc>
      </w:tr>
      <w:tr w:rsidR="00BB70D5" w:rsidRPr="00BB70D5" w:rsidTr="005547B9">
        <w:trPr>
          <w:gridAfter w:val="2"/>
          <w:wAfter w:w="449" w:type="dxa"/>
          <w:trHeight w:val="1421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16*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15,2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15,2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15,2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15,2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По состоянию на 01.07.2023 года уровень достижения показателя к 2022г. – 100%; к плану 2023г. – 100%.                                                                        Численность обучающихся, занимающихся во вторую смену - 890 человек.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br/>
              <w:t>Численность обучающихся (всего) - 5 860 человек.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образованию </w:t>
            </w:r>
          </w:p>
        </w:tc>
      </w:tr>
      <w:tr w:rsidR="00BB70D5" w:rsidRPr="00BB70D5" w:rsidTr="005547B9">
        <w:trPr>
          <w:gridAfter w:val="2"/>
          <w:wAfter w:w="449" w:type="dxa"/>
          <w:trHeight w:val="110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17*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Тысяча рублей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5547B9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  <w:r w:rsidR="00BB70D5" w:rsidRPr="00BB70D5">
              <w:rPr>
                <w:rFonts w:ascii="Calibri" w:eastAsia="Times New Roman" w:hAnsi="Calibri" w:cs="Times New Roman"/>
                <w:lang w:eastAsia="ru-RU"/>
              </w:rPr>
              <w:t>179,0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5547B9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  <w:r w:rsidR="00BB70D5" w:rsidRPr="00BB70D5">
              <w:rPr>
                <w:rFonts w:ascii="Calibri" w:eastAsia="Times New Roman" w:hAnsi="Calibri" w:cs="Times New Roman"/>
                <w:lang w:eastAsia="ru-RU"/>
              </w:rPr>
              <w:t>194,5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201,3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105,0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По состоянию на 01.07.2023 года уровень достижения показателя к 2022г. - 54%; к плану 2023г. - 52,2%. Показатель достигается по итогам года.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образованию </w:t>
            </w:r>
          </w:p>
        </w:tc>
      </w:tr>
      <w:tr w:rsidR="00BB70D5" w:rsidRPr="00BB70D5" w:rsidTr="005547B9">
        <w:trPr>
          <w:gridAfter w:val="2"/>
          <w:wAfter w:w="449" w:type="dxa"/>
          <w:trHeight w:val="4746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80,1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89,7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89,7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83,6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состоянию на 01.07.2023 года уровень достижения показателя к 2022г. - 93,2%; к плану 2023г. - 93,2%. </w:t>
            </w:r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Численность детей в возрасте от 5 до 18 лет, охваченных программами дополнительного образования, составляет 6 496 человек. В данный показатель входят дети, посещающие ЦДТ, ДШИ, образовательные организации, а также учреждения спортивной подготовки. </w:t>
            </w:r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территории города реализуется система получения услуг дополнительного образования на основе персонифицированного финансирования. На базе общеобразовательных и дошкольных организаций также осуществляется реализация программ дополнительного образования детей.</w:t>
            </w:r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сфере культуры дополнительное образование предоставляется муниципальным образовательным учреждением дополнительного образования «Детская школа искусств</w:t>
            </w:r>
            <w:r w:rsidR="005547B9"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Учреждения</w:t>
            </w:r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спорта реализуют программы по спортивной подготовке: предпрофессиональные - 8 </w:t>
            </w:r>
            <w:r w:rsidR="005547B9"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программ; общеразвивающие</w:t>
            </w:r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- 10 программ.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образованию </w:t>
            </w:r>
          </w:p>
        </w:tc>
      </w:tr>
      <w:tr w:rsidR="00BB70D5" w:rsidRPr="00BB70D5" w:rsidTr="005547B9">
        <w:trPr>
          <w:gridAfter w:val="2"/>
          <w:wAfter w:w="449" w:type="dxa"/>
          <w:trHeight w:val="298"/>
        </w:trPr>
        <w:tc>
          <w:tcPr>
            <w:tcW w:w="15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</w:tr>
      <w:tr w:rsidR="00BB70D5" w:rsidRPr="00BB70D5" w:rsidTr="005547B9">
        <w:trPr>
          <w:gridAfter w:val="2"/>
          <w:wAfter w:w="449" w:type="dxa"/>
          <w:trHeight w:val="598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Уровень фактической обеспеченности учреждениями культуры от нормативной потребности</w:t>
            </w:r>
          </w:p>
        </w:tc>
        <w:tc>
          <w:tcPr>
            <w:tcW w:w="9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Управление по культуре и спорту</w:t>
            </w:r>
          </w:p>
        </w:tc>
      </w:tr>
      <w:tr w:rsidR="00617DF2" w:rsidRPr="00BB70D5" w:rsidTr="005547B9">
        <w:trPr>
          <w:gridAfter w:val="2"/>
          <w:wAfter w:w="449" w:type="dxa"/>
          <w:trHeight w:val="250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19.1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Уровень фактической обеспеченности учреждениями культуры от нормативной потребности: клубами и учреждениями клубного типа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5547B9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  <w:r w:rsidR="00BB70D5" w:rsidRPr="00BB70D5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5547B9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  <w:r w:rsidR="00BB70D5" w:rsidRPr="00BB70D5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50,0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По состоянию на 01.07.2023 года уровень достижения показателя к 2022г. - 50%; к плану 2023г. - 100%. В соответствии с распоряжением Минкультуры РФ от 02.08.2017 №Р-965 "Об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культуры" норматив 1 ед. на 20 тыс. чел. населения.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br/>
              <w:t>В городе 1 городской дом культуры ГДК "Россия", что составляет 50% фактической обеспеченности КДУ.</w:t>
            </w:r>
          </w:p>
        </w:tc>
        <w:tc>
          <w:tcPr>
            <w:tcW w:w="20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47B9" w:rsidRPr="00BB70D5" w:rsidTr="005547B9">
        <w:trPr>
          <w:gridAfter w:val="3"/>
          <w:wAfter w:w="542" w:type="dxa"/>
          <w:trHeight w:val="13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7B9" w:rsidRPr="00BB70D5" w:rsidRDefault="005547B9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19.1.2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7B9" w:rsidRPr="00BB70D5" w:rsidRDefault="005547B9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Требуемое количество клубов и учреждений клубного типа в соответствии с утвержденным нормативом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7B9" w:rsidRPr="00BB70D5" w:rsidRDefault="005547B9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47B9" w:rsidRPr="00BB70D5" w:rsidRDefault="005547B9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47B9" w:rsidRPr="00BB70D5" w:rsidRDefault="005547B9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47B9" w:rsidRPr="00BB70D5" w:rsidRDefault="005547B9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47B9" w:rsidRPr="00BB70D5" w:rsidRDefault="005547B9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2,0</w:t>
            </w:r>
          </w:p>
        </w:tc>
        <w:tc>
          <w:tcPr>
            <w:tcW w:w="633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5547B9" w:rsidRPr="00BB70D5" w:rsidRDefault="005547B9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547B9" w:rsidRPr="00BB70D5" w:rsidRDefault="005547B9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547B9" w:rsidRPr="00BB70D5" w:rsidRDefault="005547B9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70D5" w:rsidRPr="00BB70D5" w:rsidTr="005547B9">
        <w:trPr>
          <w:gridAfter w:val="2"/>
          <w:wAfter w:w="449" w:type="dxa"/>
          <w:trHeight w:val="55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19.2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Уровень фактической обеспеченности учреждениями культуры от нормативной потребности: библиотеками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66,7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66,7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66,7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66,7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По состоянию на 01.07.2023 МАУК "Многофункциональный культурный центр "Феникс" представлен: - центральная городская библиотека, расположенная по адресу: микрорайон № 4 «Молодежный», дом 10; - библиотека-филиал № 1 (микрорайон № 2</w:t>
            </w:r>
            <w:proofErr w:type="gramStart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-«</w:t>
            </w:r>
            <w:proofErr w:type="gramEnd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а» «Лесников», ул. Советская, дом 33). В соответствии с распоряжением Минкультуры РФ от 02.08.2017 № Р-965 минимально необходимое количество библиотек для города </w:t>
            </w:r>
            <w:proofErr w:type="spellStart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Пыть-Яха</w:t>
            </w:r>
            <w:proofErr w:type="spellEnd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 3 </w:t>
            </w:r>
            <w:proofErr w:type="spellStart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еденицы</w:t>
            </w:r>
            <w:proofErr w:type="spellEnd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. В 2023 году количество библиотек с</w:t>
            </w:r>
            <w:r w:rsidR="005547B9">
              <w:rPr>
                <w:rFonts w:ascii="Times New Roman" w:eastAsia="Times New Roman" w:hAnsi="Times New Roman" w:cs="Times New Roman"/>
                <w:lang w:eastAsia="ru-RU"/>
              </w:rPr>
              <w:t>охранится на уровне 2022 года.</w:t>
            </w:r>
          </w:p>
        </w:tc>
        <w:tc>
          <w:tcPr>
            <w:tcW w:w="20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7DF2" w:rsidRPr="00BB70D5" w:rsidTr="005547B9">
        <w:trPr>
          <w:gridAfter w:val="2"/>
          <w:wAfter w:w="449" w:type="dxa"/>
          <w:trHeight w:val="226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19.3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Уровень фактической обеспеченности учреждениями культуры от нормативной потребности: парками культуры и отдыха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5547B9" w:rsidP="005547B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BB70D5" w:rsidRPr="00BB70D5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100,0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С 01.04.2023 года создан парк культуры и отдыха путем реорганизации МАУ «ГЛБ «Северное сияние» в форме присоединения к МАУК «КЦ: библиотека-музей» на основании распоряжения от 15.11.2021 №2157-ра «О реорганизации муниципального автономного учреждения «Горнолыжная база «Северное сияние» в форме присоединения к муниципальному автономному учреждению культуры «Культурный центр: библиотека-музей» (в ред. от 11.07.2022 №1249-ра). </w:t>
            </w:r>
          </w:p>
        </w:tc>
        <w:tc>
          <w:tcPr>
            <w:tcW w:w="20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0D5" w:rsidRPr="00BB70D5" w:rsidTr="005547B9">
        <w:trPr>
          <w:gridAfter w:val="2"/>
          <w:wAfter w:w="449" w:type="dxa"/>
          <w:trHeight w:val="119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Все объекты учреждений культуры находятся в удовлетворительном состоянии, капитального ремонта не требуют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Управление по культуре и спорту</w:t>
            </w:r>
          </w:p>
        </w:tc>
      </w:tr>
      <w:tr w:rsidR="00BB70D5" w:rsidRPr="00BB70D5" w:rsidTr="005547B9">
        <w:trPr>
          <w:gridAfter w:val="2"/>
          <w:wAfter w:w="449" w:type="dxa"/>
          <w:trHeight w:val="1242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На территории города </w:t>
            </w:r>
            <w:proofErr w:type="spellStart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Пыть-Яха</w:t>
            </w:r>
            <w:proofErr w:type="spellEnd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17DF2" w:rsidRPr="00BB70D5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 объекты культурного наследия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Управление по культуре и спорту</w:t>
            </w:r>
          </w:p>
        </w:tc>
      </w:tr>
      <w:tr w:rsidR="00BB70D5" w:rsidRPr="00BB70D5" w:rsidTr="005547B9">
        <w:trPr>
          <w:gridAfter w:val="2"/>
          <w:wAfter w:w="449" w:type="dxa"/>
          <w:trHeight w:val="298"/>
        </w:trPr>
        <w:tc>
          <w:tcPr>
            <w:tcW w:w="15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</w:tr>
      <w:tr w:rsidR="00BB70D5" w:rsidRPr="00BB70D5" w:rsidTr="005547B9">
        <w:trPr>
          <w:gridAfter w:val="2"/>
          <w:wAfter w:w="449" w:type="dxa"/>
          <w:trHeight w:val="1688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22*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  51,2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  51,9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  52,1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  30,6</w:t>
            </w:r>
          </w:p>
        </w:tc>
        <w:tc>
          <w:tcPr>
            <w:tcW w:w="4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предоставляется по итогам года, после сдачи отчета 1-ФК. На 01.07.2023 года на территории города проведено 44 спортивно-массовое мероприятие. Спортсмены города </w:t>
            </w:r>
            <w:proofErr w:type="spellStart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Пыть-Ях</w:t>
            </w:r>
            <w:proofErr w:type="spellEnd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 приняли участие в 74 выездных спортивно-массовых мероприятиях различного уровня: окружные – 30; региональные - 17; всероссийские – 14, межмуниципальные - 13.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Управление по культуре и спорту</w:t>
            </w:r>
          </w:p>
        </w:tc>
      </w:tr>
      <w:tr w:rsidR="00617DF2" w:rsidRPr="00BB70D5" w:rsidTr="005547B9">
        <w:trPr>
          <w:gridAfter w:val="2"/>
          <w:wAfter w:w="449" w:type="dxa"/>
          <w:trHeight w:val="122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91,6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93,3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93,4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*</w:t>
            </w:r>
          </w:p>
        </w:tc>
        <w:tc>
          <w:tcPr>
            <w:tcW w:w="43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Управление по культуре и спорту</w:t>
            </w:r>
          </w:p>
        </w:tc>
      </w:tr>
      <w:tr w:rsidR="00BB70D5" w:rsidRPr="00BB70D5" w:rsidTr="005547B9">
        <w:trPr>
          <w:gridAfter w:val="2"/>
          <w:wAfter w:w="449" w:type="dxa"/>
          <w:trHeight w:val="298"/>
        </w:trPr>
        <w:tc>
          <w:tcPr>
            <w:tcW w:w="15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Жилищное строительство и обеспечение граждан жильем</w:t>
            </w:r>
          </w:p>
        </w:tc>
      </w:tr>
      <w:tr w:rsidR="00BB70D5" w:rsidRPr="00BB70D5" w:rsidTr="005547B9">
        <w:trPr>
          <w:gridAfter w:val="2"/>
          <w:wAfter w:w="449" w:type="dxa"/>
          <w:trHeight w:val="2384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24*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Квадратный метр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20,2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19,8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19,7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19,9 </w:t>
            </w:r>
          </w:p>
        </w:tc>
        <w:tc>
          <w:tcPr>
            <w:tcW w:w="4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В 1 полугодии 2023 года введено в эксплуатацию 2 321 </w:t>
            </w:r>
            <w:proofErr w:type="spellStart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 жилья: 21 объект индивидуального жилищного строительства и садовых дома. Годовой план общего объема жилищного строительства (850,0 </w:t>
            </w:r>
            <w:proofErr w:type="spellStart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.). Показатель оценивается по итогам календарного года.</w:t>
            </w:r>
          </w:p>
        </w:tc>
        <w:tc>
          <w:tcPr>
            <w:tcW w:w="20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Управление архитектуры и градостроительства</w:t>
            </w:r>
          </w:p>
        </w:tc>
      </w:tr>
      <w:tr w:rsidR="00617DF2" w:rsidRPr="00BB70D5" w:rsidTr="005547B9">
        <w:trPr>
          <w:gridAfter w:val="2"/>
          <w:wAfter w:w="449" w:type="dxa"/>
          <w:trHeight w:val="1796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24.1*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В том числе введено общей площади жилых помещений, приходящаяся в среднем на одного жителя за один год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Квадратный метр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0,9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0,02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0,06 </w:t>
            </w:r>
          </w:p>
        </w:tc>
        <w:tc>
          <w:tcPr>
            <w:tcW w:w="43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0D5" w:rsidRPr="00BB70D5" w:rsidTr="005547B9">
        <w:trPr>
          <w:gridAfter w:val="2"/>
          <w:wAfter w:w="449" w:type="dxa"/>
          <w:trHeight w:val="223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25*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Гектар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1,9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2,5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3,7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10,2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По состоянию на 01.07.2023 года уровень достижения показателя к 2022 г. - 408 %; к плану 2023 г. - 276 %. Предоставление земельных участков носит заявительный характер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 1 полугодие 2023 года было предоставлено 22 земельных участка под строительство на общую площадь 41,2 га. Все земельные участки предоставлены под строительство объектов </w:t>
            </w:r>
            <w:proofErr w:type="spellStart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недропользвания</w:t>
            </w:r>
            <w:proofErr w:type="spellEnd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 ПАО "НК "Роснефть". Аукционы в первом полугодии 2022 г. не проводились. 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Управление архитектуры и градостроительства</w:t>
            </w:r>
          </w:p>
        </w:tc>
      </w:tr>
      <w:tr w:rsidR="00BB70D5" w:rsidRPr="00BB70D5" w:rsidTr="005547B9">
        <w:trPr>
          <w:gridAfter w:val="2"/>
          <w:wAfter w:w="449" w:type="dxa"/>
          <w:trHeight w:val="1646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25.1*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Гектар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0,4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0,1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Для жилищного строительства земельные участки не предоставлялись.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Управление архитектуры и градостроительства</w:t>
            </w:r>
          </w:p>
        </w:tc>
      </w:tr>
      <w:tr w:rsidR="00BB70D5" w:rsidRPr="00BB70D5" w:rsidTr="005547B9">
        <w:trPr>
          <w:gridAfter w:val="2"/>
          <w:wAfter w:w="449" w:type="dxa"/>
          <w:trHeight w:val="841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26*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</w:t>
            </w:r>
            <w:proofErr w:type="gramStart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эксплуатацию: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br/>
              <w:t>объектов</w:t>
            </w:r>
            <w:proofErr w:type="gramEnd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 жилищного строительства - в течение 3 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лет (кв. метров); иных объектов капитального строительства - в течение 5 лет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Неизвестные данные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11 631,0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По состоянию на 01.07.2023 года в отношении двух земельных участков, общей площадью 11 631,0 </w:t>
            </w:r>
            <w:proofErr w:type="spellStart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., не получено разрешение на ввод в эксплуатацию объектов (земельные участки под строительство МКД строительный номер 35/3; строительный номер 6-15).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Управление архитектуры и градостроительства</w:t>
            </w:r>
          </w:p>
        </w:tc>
      </w:tr>
      <w:tr w:rsidR="00BB70D5" w:rsidRPr="00BB70D5" w:rsidTr="005547B9">
        <w:trPr>
          <w:gridAfter w:val="2"/>
          <w:wAfter w:w="449" w:type="dxa"/>
          <w:trHeight w:val="298"/>
        </w:trPr>
        <w:tc>
          <w:tcPr>
            <w:tcW w:w="15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</w:tr>
      <w:tr w:rsidR="00BB70D5" w:rsidRPr="00BB70D5" w:rsidTr="005547B9">
        <w:trPr>
          <w:gridAfter w:val="2"/>
          <w:wAfter w:w="449" w:type="dxa"/>
          <w:trHeight w:val="1361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5547B9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  <w:r w:rsidR="00BB70D5" w:rsidRPr="00BB70D5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99,7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5547B9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BB70D5" w:rsidRPr="00BB70D5">
              <w:rPr>
                <w:rFonts w:ascii="Calibri" w:eastAsia="Times New Roman" w:hAnsi="Calibri" w:cs="Times New Roman"/>
                <w:lang w:eastAsia="ru-RU"/>
              </w:rPr>
              <w:t>100,0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100,0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По состоянию на 01.07.2023 года уровень достижения показателя к 2022г. - 100%; к плану 2023г. - 100%.  По состоянию на 01.07.2023 все собственники помещений в МКД выбрали и реализуют один из способов управления многоквартирными </w:t>
            </w:r>
            <w:proofErr w:type="gramStart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домами.  </w:t>
            </w:r>
            <w:proofErr w:type="gramEnd"/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Управление по жилищно-коммунальному комплексу, транспорту и дорогам</w:t>
            </w:r>
          </w:p>
        </w:tc>
      </w:tr>
      <w:tr w:rsidR="00BB70D5" w:rsidRPr="00BB70D5" w:rsidTr="005547B9">
        <w:trPr>
          <w:gridAfter w:val="2"/>
          <w:wAfter w:w="449" w:type="dxa"/>
          <w:trHeight w:val="3393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83,3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83,3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83,3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83,3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По состоянию на 01.07.2023 года показатель сохранен на уровне 2022 года.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Управление по жилищно-коммунальному комплексу, транспорту и дорогам</w:t>
            </w:r>
          </w:p>
        </w:tc>
      </w:tr>
      <w:tr w:rsidR="00BB70D5" w:rsidRPr="00BB70D5" w:rsidTr="005547B9">
        <w:trPr>
          <w:gridAfter w:val="2"/>
          <w:wAfter w:w="449" w:type="dxa"/>
          <w:trHeight w:val="1526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91,7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91,7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91,4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91,4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По состоянию на 01.07.2023 года уровень достижения показателя к 2022г. - 99,7%; к плану 2023г. - 100%. На отчётную дату ввода и сноса МКД не осуществлялось.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Управление архитектуры и градостроительства</w:t>
            </w:r>
          </w:p>
        </w:tc>
      </w:tr>
      <w:tr w:rsidR="00BB70D5" w:rsidRPr="00BB70D5" w:rsidTr="005547B9">
        <w:trPr>
          <w:gridAfter w:val="2"/>
          <w:wAfter w:w="449" w:type="dxa"/>
          <w:trHeight w:val="55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30*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19,8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22,4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12,9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11,5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По состоянию на 01.07.2023 года уровень достижения показателя к 2022г. - 51,3%; к плану 2023г. - 89,2%. 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Улучшение жилищных условий граждан  осуществляется согласно программным мероприятиям и действующему законодательству Российской Федерации, ХМАО - Югры, в связи с чем по показателям отражены участники муниципальной программы «Развитие жилищной сферы в городе </w:t>
            </w:r>
            <w:proofErr w:type="spellStart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Пыть-Ях</w:t>
            </w:r>
            <w:proofErr w:type="spellEnd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».   Показатели рассчитаны с учетом доведенных плановых объёмов финансирования программных мероприятий. В 1 полугодии 2023 года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улучшила жилищные условия 81 семья, 707 семей состоит не учете.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 по жилищным вопросам</w:t>
            </w:r>
          </w:p>
        </w:tc>
      </w:tr>
      <w:tr w:rsidR="00BB70D5" w:rsidRPr="00BB70D5" w:rsidTr="005547B9">
        <w:trPr>
          <w:gridAfter w:val="2"/>
          <w:wAfter w:w="449" w:type="dxa"/>
          <w:trHeight w:val="538"/>
        </w:trPr>
        <w:tc>
          <w:tcPr>
            <w:tcW w:w="15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муниципального управления</w:t>
            </w:r>
          </w:p>
        </w:tc>
      </w:tr>
      <w:tr w:rsidR="00BB70D5" w:rsidRPr="00BB70D5" w:rsidTr="005547B9">
        <w:trPr>
          <w:gridAfter w:val="2"/>
          <w:wAfter w:w="449" w:type="dxa"/>
          <w:trHeight w:val="3668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31*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47,0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56,4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60,3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По состоянию на 01.07.2023 года уровень достижения показателя к 2022г. - 107%; к плану 2023г. - 99%. Показатель оценивается по итогам года.                План мероприятий по росту доходов на 2023 год и на плановый период 2024 и 2025 годов утвержден распоряжением администрации города от 18.01.2023 № 102-ра «О мероприятиях по исполнению решения Думы «О бюджете города </w:t>
            </w:r>
            <w:proofErr w:type="spellStart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Пыть-Яха</w:t>
            </w:r>
            <w:proofErr w:type="spellEnd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 на 2023 год и на плановый период 2024 и 2025 годов» и направлен на увеличение доли налоговых и неналоговых доходов местного бюджета в общем объеме собственных доходов бюджета муниципального образования (без учета субвенций). 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Мероприятия по росту доходов бюджета муниципального образования за 1 полугодие текущего года исполнены в сумме 17 891,4 тыс. руб., что составляет 10,9% к плану на 2023 год.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Комитет по финансам</w:t>
            </w:r>
          </w:p>
        </w:tc>
      </w:tr>
      <w:tr w:rsidR="00BB70D5" w:rsidRPr="00BB70D5" w:rsidTr="005547B9">
        <w:trPr>
          <w:gridAfter w:val="2"/>
          <w:wAfter w:w="449" w:type="dxa"/>
          <w:trHeight w:val="55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года по полной учетной стоимости)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0,93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0,54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0,52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По состоянию на 01.07.2023 балансовая стоимость основных средств МУП АТП г. </w:t>
            </w:r>
            <w:proofErr w:type="spellStart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Пыть-Ях</w:t>
            </w:r>
            <w:proofErr w:type="spellEnd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составляет 86 640,7 тыс. руб., балансовая стоимость основных фондов организаций муниципальной формы собственности - 16 721 107,4 тыс. руб. (данные предварительного реестра муниципального имущества)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Управление по муниципальному имуществу</w:t>
            </w:r>
          </w:p>
        </w:tc>
      </w:tr>
      <w:tr w:rsidR="00BB70D5" w:rsidRPr="00BB70D5" w:rsidTr="005547B9">
        <w:trPr>
          <w:gridAfter w:val="2"/>
          <w:wAfter w:w="449" w:type="dxa"/>
          <w:trHeight w:val="4462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Объем незавершенного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Тысяча рублей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5547B9" w:rsidP="005547B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72</w:t>
            </w:r>
            <w:r w:rsidR="00BB70D5" w:rsidRPr="00BB70D5">
              <w:rPr>
                <w:rFonts w:ascii="Calibri" w:eastAsia="Times New Roman" w:hAnsi="Calibri" w:cs="Times New Roman"/>
                <w:lang w:eastAsia="ru-RU"/>
              </w:rPr>
              <w:t>603,3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72 603,3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Объект незавершенного строительства: "Реконструкция ВОС-1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2-я очередь, 1 этап. Во исполнение протокола №2 от 25.11.2022г. заседания комиссии по списанию затрат по объектам незавершенного строительства,  заключен договор на выполнение работ по проведению комплексного обследования технического состояния зданий на объекте.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br/>
              <w:t>По результатам проведенного обследования, согласно выданному заключению: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br/>
              <w:t>1)  Резервуары вертикальных стальных V=100 м3: не соответствие требований нормативно-технической документации в строительстве, общее техническое состояние оценивается аварийным, что подлежит выводу из эксплуатации (сносу) с последующим демонтажем строительных конструкций.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br/>
              <w:t>2) В здании насосной станции 2-го подъема были выявлены дефекты и повреждения, которые оказывают значительное влияние на техническое состояние отдельных конструкций и здания в целом. Несущие конструкции здания находятся в аварийном техническом состоянии и подлежат сносу.                                                                                                           Решается вопрос о списании оставшейся части затрат по объекту.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МКУ "Управление капитального строительства"</w:t>
            </w:r>
          </w:p>
        </w:tc>
      </w:tr>
      <w:tr w:rsidR="00BB70D5" w:rsidRPr="00BB70D5" w:rsidTr="005547B9">
        <w:trPr>
          <w:gridAfter w:val="2"/>
          <w:wAfter w:w="449" w:type="dxa"/>
          <w:trHeight w:val="160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По состоянию на 01.07.2023 года уровень достижения показателя к 2022г. - 100%; к плану 2023г. - 100%. 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br/>
              <w:t>Своевременно выплачена заработная плата и перечислены начисления на оплату труда работников муниципальных учреждений города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Комитет по финансам</w:t>
            </w:r>
          </w:p>
        </w:tc>
      </w:tr>
      <w:tr w:rsidR="00BB70D5" w:rsidRPr="00BB70D5" w:rsidTr="005547B9">
        <w:trPr>
          <w:gridAfter w:val="2"/>
          <w:wAfter w:w="449" w:type="dxa"/>
          <w:trHeight w:val="1961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5547B9" w:rsidP="005547B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  <w:r w:rsidR="00BB70D5" w:rsidRPr="00BB70D5">
              <w:rPr>
                <w:rFonts w:ascii="Calibri" w:eastAsia="Times New Roman" w:hAnsi="Calibri" w:cs="Times New Roman"/>
                <w:lang w:eastAsia="ru-RU"/>
              </w:rPr>
              <w:t>885,4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5547B9" w:rsidP="005547B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  <w:r w:rsidR="00BB70D5" w:rsidRPr="00BB70D5">
              <w:rPr>
                <w:rFonts w:ascii="Calibri" w:eastAsia="Times New Roman" w:hAnsi="Calibri" w:cs="Times New Roman"/>
                <w:lang w:eastAsia="ru-RU"/>
              </w:rPr>
              <w:t>596,7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5 424,5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2 881,5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По состоянию на 01.07.2023 года уровень достижения показателя к 2022г. - 51,5%; к плану 2023г. - 53,1%. Показатель оценивается по итогам года. На 2023 год, в соответствии с утвержденной структурой администрации города, финансовое обеспечение структурных подразделений администрации отражено по соответствующим разделам, подразделам функциональной классификации расходов бюджета в соответствии с отраслевой принадлежностью.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Комитет по финансам</w:t>
            </w:r>
          </w:p>
        </w:tc>
      </w:tr>
      <w:tr w:rsidR="00BB70D5" w:rsidRPr="00BB70D5" w:rsidTr="005547B9">
        <w:trPr>
          <w:gridAfter w:val="2"/>
          <w:wAfter w:w="449" w:type="dxa"/>
          <w:trHeight w:val="1706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Условная единица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1,0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1,0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1,0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план города </w:t>
            </w:r>
            <w:proofErr w:type="spellStart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Пыть-Яха</w:t>
            </w:r>
            <w:proofErr w:type="spellEnd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утвержден решением Думы города от 26.04.2006 №16 (в ред. от 12.07.2010 №555, от 14.12.2010 №604, от 27.09.2011 №86, от 13.05.2015 №331). Правила землепользования и застройки города утверждены постановлением администрации города </w:t>
            </w:r>
            <w:proofErr w:type="spellStart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Пыть-Яха</w:t>
            </w:r>
            <w:proofErr w:type="spellEnd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 от 27.07.2022 № 329-па.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Управление архитектуры и градостроительства</w:t>
            </w:r>
          </w:p>
        </w:tc>
      </w:tr>
      <w:tr w:rsidR="00BB70D5" w:rsidRPr="00BB70D5" w:rsidTr="005547B9">
        <w:trPr>
          <w:gridAfter w:val="2"/>
          <w:wAfter w:w="449" w:type="dxa"/>
          <w:trHeight w:val="5271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37*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Удовлетворенность населения деятельностью органов местного самоуправления муниципального, городского округа (муниципального района)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Процент от числа опрошенных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25,0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40,7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*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*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за 2023 год будет предоставлена по результатам социологического опроса, в срок до 1 марта </w:t>
            </w:r>
            <w:proofErr w:type="gramStart"/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года,  следующего</w:t>
            </w:r>
            <w:proofErr w:type="gramEnd"/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отчетным, вносится Департаментом общественных и внешних связей автономного округа в базу данных  информационной системы «Мониторинг –Югра».                                                                     Аппаратом управления проведено – 32 приема граждан, принято 48 граждан, из них глава города провел 29 приемов (45 граждан), заместители главы города по направлениям – 3 приема (3 гражданина</w:t>
            </w:r>
            <w:proofErr w:type="gramStart"/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Всего</w:t>
            </w:r>
            <w:proofErr w:type="gramEnd"/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информационных материалов, прошедших в средствах массовой информации МАУ «ТРК </w:t>
            </w:r>
            <w:proofErr w:type="spellStart"/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Пыть-Яхинформ</w:t>
            </w:r>
            <w:proofErr w:type="spellEnd"/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- 2 720. Количество информационных материалов с упоминанием органов местного самоуправления города </w:t>
            </w:r>
            <w:proofErr w:type="spellStart"/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Пыть-Яха</w:t>
            </w:r>
            <w:proofErr w:type="spellEnd"/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378.</w:t>
            </w:r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Опрос общественного мнения о деятельности органов местного самоуправления за 2023 год был размещен на официальном сайте администрации г. </w:t>
            </w:r>
            <w:proofErr w:type="spellStart"/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Пыть-Ях</w:t>
            </w:r>
            <w:proofErr w:type="spellEnd"/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05.07.2023.  Прямые эфиры главы города - 8; публичные слушания -1; публичные обсуждения -7; "Городской парламент" - </w:t>
            </w:r>
            <w:proofErr w:type="gramStart"/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4;  программа</w:t>
            </w:r>
            <w:proofErr w:type="gramEnd"/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"Обсуждаем вместе" - 2 выпуска, программа «Один день с главой» - 1 выпуск, «Бюджет</w:t>
            </w:r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для граждан» - 2 выпуска.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Отдел по внутренней политике, связям с общественными организациями и СМИ управления по внутренней политике</w:t>
            </w:r>
          </w:p>
        </w:tc>
      </w:tr>
      <w:tr w:rsidR="00BB70D5" w:rsidRPr="00BB70D5" w:rsidTr="005547B9">
        <w:trPr>
          <w:gridAfter w:val="2"/>
          <w:wAfter w:w="449" w:type="dxa"/>
          <w:trHeight w:val="628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Тысяча человек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39,376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40,219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40,245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40,245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На 2023 год расчетная среднегодовая численность постоянного населения составила 40 245 тыс. человек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Управление по экономике</w:t>
            </w:r>
          </w:p>
        </w:tc>
      </w:tr>
      <w:tr w:rsidR="00BB70D5" w:rsidRPr="00BB70D5" w:rsidTr="005547B9">
        <w:trPr>
          <w:gridAfter w:val="2"/>
          <w:wAfter w:w="449" w:type="dxa"/>
          <w:trHeight w:val="298"/>
        </w:trPr>
        <w:tc>
          <w:tcPr>
            <w:tcW w:w="15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BB70D5" w:rsidRPr="00BB70D5" w:rsidTr="005547B9">
        <w:trPr>
          <w:gridAfter w:val="2"/>
          <w:wAfter w:w="449" w:type="dxa"/>
          <w:trHeight w:val="702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Неизвестные данные</w:t>
            </w:r>
          </w:p>
        </w:tc>
        <w:tc>
          <w:tcPr>
            <w:tcW w:w="8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0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Управление по жилищно-коммунальному комплексу, транспорту и дорогам</w:t>
            </w:r>
          </w:p>
        </w:tc>
      </w:tr>
      <w:tr w:rsidR="00617DF2" w:rsidRPr="00BB70D5" w:rsidTr="005547B9">
        <w:trPr>
          <w:gridAfter w:val="2"/>
          <w:wAfter w:w="449" w:type="dxa"/>
          <w:trHeight w:val="1122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39.1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электрическая энергия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килловат</w:t>
            </w:r>
            <w:proofErr w:type="spellEnd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 в час на 1 проживающего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938,21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930,63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931,6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472,3 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Показатель оценивается нарастающим по итогам календарного года.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br/>
              <w:t>Уровень достижения показателя к 2022г. - 50,7%; к плану 2023г. - 50,7%</w:t>
            </w:r>
          </w:p>
        </w:tc>
        <w:tc>
          <w:tcPr>
            <w:tcW w:w="20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7DF2" w:rsidRPr="00BB70D5" w:rsidTr="005547B9">
        <w:trPr>
          <w:gridAfter w:val="2"/>
          <w:wAfter w:w="449" w:type="dxa"/>
          <w:trHeight w:val="89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39.2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тепловая энергия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Гкал. на 1кв. метр общей площади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0,26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0,26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0,26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0,15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Показатель оценивается нарастающим по итогам календарного года.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br/>
              <w:t>Уровень достижения показателя к 2022г. - 57,7%; к плану 2023г. - 57,7%</w:t>
            </w:r>
          </w:p>
        </w:tc>
        <w:tc>
          <w:tcPr>
            <w:tcW w:w="20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7DF2" w:rsidRPr="00BB70D5" w:rsidTr="005547B9">
        <w:trPr>
          <w:gridAfter w:val="2"/>
          <w:wAfter w:w="449" w:type="dxa"/>
          <w:trHeight w:val="101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39.3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горячая вода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кубических метров на 1 проживающего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4,72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6,66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4,60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3,92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Показатель оценивается нарастающим по итогам календарного года.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br/>
              <w:t>Уровень достижения показателя к 2022г. - 58,8%; к плану 2022г. - 85,2%</w:t>
            </w:r>
          </w:p>
        </w:tc>
        <w:tc>
          <w:tcPr>
            <w:tcW w:w="20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7DF2" w:rsidRPr="00BB70D5" w:rsidTr="005547B9">
        <w:trPr>
          <w:gridAfter w:val="2"/>
          <w:wAfter w:w="449" w:type="dxa"/>
          <w:trHeight w:val="89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39.4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холодная вода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кубических метров на 1 проживающего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5547B9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BB70D5" w:rsidRPr="00BB70D5">
              <w:rPr>
                <w:rFonts w:ascii="Calibri" w:eastAsia="Times New Roman" w:hAnsi="Calibri" w:cs="Times New Roman"/>
                <w:lang w:eastAsia="ru-RU"/>
              </w:rPr>
              <w:t>26,66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5547B9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BB70D5" w:rsidRPr="00BB70D5">
              <w:rPr>
                <w:rFonts w:ascii="Calibri" w:eastAsia="Times New Roman" w:hAnsi="Calibri" w:cs="Times New Roman"/>
                <w:lang w:eastAsia="ru-RU"/>
              </w:rPr>
              <w:t>25,65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25,99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12,70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Показатель оценивается нарастающим по итогам календарного года.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br/>
              <w:t>Уровень достижения показателя к 2022г. - 49,5%; к плану 2022г. - 48,8%</w:t>
            </w:r>
          </w:p>
        </w:tc>
        <w:tc>
          <w:tcPr>
            <w:tcW w:w="20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0D5" w:rsidRPr="00BB70D5" w:rsidTr="005547B9">
        <w:trPr>
          <w:gridAfter w:val="2"/>
          <w:wAfter w:w="449" w:type="dxa"/>
          <w:trHeight w:val="92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39.5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природный газ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кубических метров на 1 проживающего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70D5" w:rsidRPr="00BB70D5" w:rsidTr="005547B9">
        <w:trPr>
          <w:gridAfter w:val="2"/>
          <w:wAfter w:w="449" w:type="dxa"/>
          <w:trHeight w:val="792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Неизвестные данные</w:t>
            </w:r>
          </w:p>
        </w:tc>
        <w:tc>
          <w:tcPr>
            <w:tcW w:w="8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08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Управление по жилищно-коммунальному комплексу, транспорту и дорогам</w:t>
            </w:r>
          </w:p>
        </w:tc>
      </w:tr>
      <w:tr w:rsidR="00617DF2" w:rsidRPr="00BB70D5" w:rsidTr="005547B9">
        <w:trPr>
          <w:gridAfter w:val="2"/>
          <w:wAfter w:w="449" w:type="dxa"/>
          <w:trHeight w:val="227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40.1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электрическая энергия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килловат</w:t>
            </w:r>
            <w:proofErr w:type="spellEnd"/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 в час на 1 проживающего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125,66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124,18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5547B9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  <w:r w:rsidR="00BB70D5" w:rsidRPr="00BB70D5">
              <w:rPr>
                <w:rFonts w:ascii="Calibri" w:eastAsia="Times New Roman" w:hAnsi="Calibri" w:cs="Times New Roman"/>
                <w:lang w:eastAsia="ru-RU"/>
              </w:rPr>
              <w:t>118,86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71,34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Показатель оценивается нарастающим по итогам календарного года.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Уровень достижения показателя к 2022г. - 57,5%; к плану 2023г. - 60%. Продолжается реализация мероприятия по соблюдению требований Федерального закона от 23.11.2009 №261-ФЗ «Об энергосбережении и о повышении энергетической эффективности, и о внесении изменений в отдельные законодательные акты Российской Федерации», (замена ламп накаливания на энергосберегающие светильники, контроль за отключением) </w:t>
            </w:r>
          </w:p>
        </w:tc>
        <w:tc>
          <w:tcPr>
            <w:tcW w:w="208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7DF2" w:rsidRPr="00BB70D5" w:rsidTr="005547B9">
        <w:trPr>
          <w:gridAfter w:val="2"/>
          <w:wAfter w:w="449" w:type="dxa"/>
          <w:trHeight w:val="1212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40.2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тепловая энергия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Гкал. на 1кв. метр общей площади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0,23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0,27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0,26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0,12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Показатель оценивается нарастающим по итогам календарного года.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br/>
              <w:t>Уровень достижения показателя к 2022г. - 44,5%; к плану 2023г. - 46,2%. Во всех муниципальных учреждениях установлены автоматизированные индивидуальные тепловые пункты с погодным регулированием</w:t>
            </w:r>
          </w:p>
        </w:tc>
        <w:tc>
          <w:tcPr>
            <w:tcW w:w="208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7DF2" w:rsidRPr="00BB70D5" w:rsidTr="005547B9">
        <w:trPr>
          <w:gridAfter w:val="2"/>
          <w:wAfter w:w="449" w:type="dxa"/>
          <w:trHeight w:val="1066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40.3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горячая вода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кубических метров на 1 проживающего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0,01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0,03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0,02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0,03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Показатель оценивается нарастающим по итогам календарного года. Уровень достижения показателя к 2022г. -</w:t>
            </w:r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%; к плану 2023г. - </w:t>
            </w:r>
            <w:r w:rsidRPr="00BB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%. </w:t>
            </w:r>
          </w:p>
        </w:tc>
        <w:tc>
          <w:tcPr>
            <w:tcW w:w="208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7DF2" w:rsidRPr="00BB70D5" w:rsidTr="005547B9">
        <w:trPr>
          <w:gridAfter w:val="2"/>
          <w:wAfter w:w="449" w:type="dxa"/>
          <w:trHeight w:val="1706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40.4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холодная вода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кубических метров на 1 проживающего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2,05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0,56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Показатель оценивается нарастающим по итогам календарного года.</w:t>
            </w: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br/>
              <w:t>Уровень достижения показателя к 2022г. - 27,3%; к плану 2023г. - 28%. Продолжается реализация мероприятий в соответствии с Федеральным законом от 23.11.2009 № 261-ФЗ (ввод в эксплуатацию приборов учета коммунальной инфраструктуры) и экономией потребления холодной воды.</w:t>
            </w:r>
          </w:p>
        </w:tc>
        <w:tc>
          <w:tcPr>
            <w:tcW w:w="208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7DF2" w:rsidRPr="00BB70D5" w:rsidTr="005547B9">
        <w:trPr>
          <w:gridAfter w:val="2"/>
          <w:wAfter w:w="449" w:type="dxa"/>
          <w:trHeight w:val="841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40.5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природный газ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кубических метров на 1 проживающего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7DF2" w:rsidRPr="00BB70D5" w:rsidTr="005547B9">
        <w:trPr>
          <w:gridAfter w:val="2"/>
          <w:wAfter w:w="449" w:type="dxa"/>
          <w:trHeight w:val="218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70D5" w:rsidRPr="00BB70D5" w:rsidTr="005547B9">
        <w:trPr>
          <w:gridAfter w:val="2"/>
          <w:wAfter w:w="449" w:type="dxa"/>
          <w:trHeight w:val="1721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41.1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96,8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Законом Российской Федерации от 09.10.1992 №3612-I «Основы законодательства Российской Федерации о культуре» независимая оценка качества оказания услуг организациями культуры проводится не чаще, чем 1 раз в год и не реже, чем 1 раз в 3 года в отношении одной и той же организации. 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Управление по культуре и спорту</w:t>
            </w:r>
          </w:p>
        </w:tc>
      </w:tr>
      <w:tr w:rsidR="00BB70D5" w:rsidRPr="00BB70D5" w:rsidTr="005547B9">
        <w:trPr>
          <w:gridAfter w:val="2"/>
          <w:wAfter w:w="449" w:type="dxa"/>
          <w:trHeight w:val="1811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lastRenderedPageBreak/>
              <w:t>41.3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90,3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90,9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Для проведения оценочной процедуры используется анкетирование по выявлению мнения получателей услуг о качестве условий осуществления образовательной деятельности оцениваемых образовательных организаций в открытом доступе в сети «Интернет» на специализированном сайте организации-оператора - http://noko.mipnv.ru/.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образованию </w:t>
            </w:r>
          </w:p>
        </w:tc>
      </w:tr>
      <w:tr w:rsidR="00BB70D5" w:rsidRPr="00BB70D5" w:rsidTr="005547B9">
        <w:trPr>
          <w:gridAfter w:val="2"/>
          <w:wAfter w:w="449" w:type="dxa"/>
          <w:trHeight w:val="89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41.4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 xml:space="preserve">    99,0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B70D5" w:rsidRPr="00BB70D5" w:rsidRDefault="00BB70D5" w:rsidP="00BB7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B70D5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70D5" w:rsidRPr="00BB70D5" w:rsidTr="005547B9">
        <w:trPr>
          <w:trHeight w:val="298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70D5" w:rsidRPr="00BB70D5" w:rsidTr="005547B9">
        <w:trPr>
          <w:gridAfter w:val="2"/>
          <w:wAfter w:w="449" w:type="dxa"/>
          <w:trHeight w:val="1006"/>
        </w:trPr>
        <w:tc>
          <w:tcPr>
            <w:tcW w:w="15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0D5" w:rsidRPr="00BB70D5" w:rsidRDefault="00BB70D5" w:rsidP="00BB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Перечень показателей результативности, используемых Правительством ХМАО - Югры для оценки эффективности деятельности органов местного самоуправления городских округов и муниципальных районов ХМАО-Югры для определения размеров грантов муниципальным образованиям, утвержденных распоряжением Правительства ХМАО -Югры от 15.03.2013 №92-рп </w:t>
            </w:r>
          </w:p>
        </w:tc>
      </w:tr>
    </w:tbl>
    <w:p w:rsidR="00F56FD6" w:rsidRDefault="00F56FD6"/>
    <w:sectPr w:rsidR="00F56FD6" w:rsidSect="00BB70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FE"/>
    <w:rsid w:val="005547B9"/>
    <w:rsid w:val="00617DF2"/>
    <w:rsid w:val="009334FE"/>
    <w:rsid w:val="00BB70D5"/>
    <w:rsid w:val="00F5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88430-A1FD-4293-8973-CBA34456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24</Pages>
  <Words>5125</Words>
  <Characters>29219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Келлер</dc:creator>
  <cp:keywords/>
  <dc:description/>
  <cp:lastModifiedBy>Евгений Келлер</cp:lastModifiedBy>
  <cp:revision>3</cp:revision>
  <dcterms:created xsi:type="dcterms:W3CDTF">2023-07-28T04:04:00Z</dcterms:created>
  <dcterms:modified xsi:type="dcterms:W3CDTF">2023-07-28T04:44:00Z</dcterms:modified>
</cp:coreProperties>
</file>