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6A2C1C" w:rsidTr="00C138DB">
        <w:trPr>
          <w:trHeight w:val="243"/>
        </w:trPr>
        <w:tc>
          <w:tcPr>
            <w:tcW w:w="9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6A63" w:rsidRDefault="009E3119" w:rsidP="009A6A63">
            <w:pPr>
              <w:jc w:val="center"/>
              <w:rPr>
                <w:b/>
                <w:sz w:val="28"/>
                <w:szCs w:val="28"/>
              </w:rPr>
            </w:pPr>
            <w:bookmarkStart w:id="0" w:name="_Toc114307276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1.95pt;height:41.3pt;visibility:visible;mso-wrap-style:square">
                  <v:imagedata r:id="rId9" o:title=""/>
                </v:shape>
              </w:pict>
            </w:r>
          </w:p>
          <w:p w:rsidR="009A6A63" w:rsidRPr="009A6A63" w:rsidRDefault="009A6A63" w:rsidP="009A6A63">
            <w:pPr>
              <w:jc w:val="center"/>
            </w:pPr>
            <w:r w:rsidRPr="009A6A63">
              <w:t>КОНТРОЛЬНО-РЕВИЗИОННАЯ КОМИССИЯ</w:t>
            </w:r>
          </w:p>
          <w:p w:rsidR="009A6A63" w:rsidRPr="009A6A63" w:rsidRDefault="009A6A63" w:rsidP="009A6A63">
            <w:pPr>
              <w:jc w:val="center"/>
            </w:pPr>
            <w:r w:rsidRPr="009A6A63">
              <w:t>ПАРТИЗАНСКОГО РАЙОНА</w:t>
            </w:r>
          </w:p>
          <w:p w:rsidR="009A6A63" w:rsidRPr="009A6A63" w:rsidRDefault="009A6A63" w:rsidP="009A6A63">
            <w:pPr>
              <w:ind w:firstLine="567"/>
              <w:jc w:val="center"/>
              <w:rPr>
                <w:rFonts w:cs="Tahoma"/>
                <w:b/>
                <w:lang w:bidi="ru-RU"/>
              </w:rPr>
            </w:pPr>
            <w:r w:rsidRPr="009A6A63">
              <w:rPr>
                <w:rFonts w:cs="Tahoma"/>
                <w:b/>
                <w:lang w:bidi="ru-RU"/>
              </w:rPr>
              <w:t>______________________________________________</w:t>
            </w:r>
            <w:r w:rsidR="00C138DB">
              <w:rPr>
                <w:rFonts w:cs="Tahoma"/>
                <w:b/>
                <w:lang w:bidi="ru-RU"/>
              </w:rPr>
              <w:t>_____________________________</w:t>
            </w:r>
          </w:p>
          <w:p w:rsidR="009A6A63" w:rsidRPr="009A6A63" w:rsidRDefault="009A6A63" w:rsidP="009A6A63">
            <w:pPr>
              <w:jc w:val="center"/>
            </w:pPr>
            <w:r w:rsidRPr="009A6A63">
              <w:t>ул. Советская, 45, с. Партизанское, Партизанский район, Красноярский край, 663540</w:t>
            </w:r>
          </w:p>
          <w:p w:rsidR="009A6A63" w:rsidRPr="009A6A63" w:rsidRDefault="009A6A63" w:rsidP="009A6A63">
            <w:pPr>
              <w:jc w:val="center"/>
              <w:rPr>
                <w:rStyle w:val="markedcontent"/>
              </w:rPr>
            </w:pPr>
            <w:r w:rsidRPr="009A6A63">
              <w:t>телефон: 8-(39140) - 21-7-58</w:t>
            </w:r>
          </w:p>
          <w:p w:rsidR="009A6A63" w:rsidRPr="009A6A63" w:rsidRDefault="009A6A63" w:rsidP="009A6A63"/>
          <w:p w:rsidR="009A6A63" w:rsidRPr="009A6A63" w:rsidRDefault="009A6A63" w:rsidP="009A6A63">
            <w:r w:rsidRPr="009A6A63">
              <w:t xml:space="preserve">     </w:t>
            </w:r>
            <w:r w:rsidR="00C138DB">
              <w:t xml:space="preserve">          </w:t>
            </w:r>
            <w:r w:rsidRPr="009A6A63">
              <w:t xml:space="preserve">  29.11.2024                                                                                   с. Партизанское                           </w:t>
            </w:r>
          </w:p>
          <w:p w:rsidR="009A6A63" w:rsidRDefault="009A6A63">
            <w:pPr>
              <w:ind w:firstLine="567"/>
              <w:jc w:val="center"/>
              <w:rPr>
                <w:rFonts w:cs="Tahoma"/>
                <w:b/>
                <w:lang w:bidi="ru-RU"/>
              </w:rPr>
            </w:pPr>
          </w:p>
          <w:p w:rsidR="006A2C1C" w:rsidRDefault="009A6A63">
            <w:pPr>
              <w:ind w:firstLine="567"/>
              <w:rPr>
                <w:rFonts w:cs="Tahoma"/>
                <w:b/>
                <w:lang w:bidi="ru-RU"/>
              </w:rPr>
            </w:pPr>
            <w:r>
              <w:rPr>
                <w:rFonts w:cs="Tahoma"/>
                <w:b/>
                <w:lang w:bidi="ru-RU"/>
              </w:rPr>
              <w:t xml:space="preserve">                                                         ЗАКЛЮЧЕНИЕ</w:t>
            </w:r>
          </w:p>
          <w:p w:rsidR="006A2C1C" w:rsidRDefault="009A6A63">
            <w:pPr>
              <w:ind w:firstLine="567"/>
              <w:jc w:val="center"/>
              <w:rPr>
                <w:rFonts w:cs="Tahoma"/>
                <w:b/>
                <w:lang w:bidi="ru-RU"/>
              </w:rPr>
            </w:pPr>
            <w:r>
              <w:rPr>
                <w:rFonts w:cs="Tahoma"/>
                <w:b/>
                <w:lang w:bidi="ru-RU"/>
              </w:rPr>
              <w:t>на проект решения Партизанского районного Совета депутатов  « О районном бюджете на 2025 год и плановый период 2026 - 2027 годов»</w:t>
            </w:r>
          </w:p>
          <w:p w:rsidR="006A2C1C" w:rsidRDefault="006A2C1C" w:rsidP="00C138DB">
            <w:pPr>
              <w:pStyle w:val="Default"/>
              <w:ind w:right="397" w:firstLine="567"/>
            </w:pPr>
          </w:p>
          <w:p w:rsidR="006A2C1C" w:rsidRDefault="009A6A63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Контрольно-ревизионной комиссии Партизанского района (далее – Контрольно-ревизионная комиссия) на проект решения Партизанского районного Совета депутатов «О районном бюджете на 2025 год и плановый период 2026-2027 годов» (далее - Заключение) подготовлено в соответствии с полномочиями, установленными статьей 157 Бюджетного кодекса Российской Федерации, п. 28 Положения о бюджетном процессе в Партизанском районе от 22.03.2018 № 32-136-р, Положения «О Контрольно-ревизионной комиссии Партизанского района» от 17.02.2022 № 27-183-р, плана работы Контрольно-ревизионной комиссии на 2024 год от 28.12.2023 № 64.</w:t>
            </w:r>
          </w:p>
          <w:p w:rsidR="006A2C1C" w:rsidRDefault="009A6A63">
            <w:pPr>
              <w:ind w:firstLine="567"/>
              <w:jc w:val="both"/>
            </w:pPr>
            <w:r>
              <w:t>Предмет</w:t>
            </w:r>
            <w:r>
              <w:rPr>
                <w:b/>
              </w:rPr>
              <w:t xml:space="preserve"> </w:t>
            </w:r>
            <w:r>
              <w:t>экспертно-аналитического мероприятия: проект решения Партизанского районного Совета депутатов «О районном бюджете на 2025 год и плановый период 2026-2027 годов» (далее - Проект решения о бюджете, Проект решения, Проект), документы и материалы, представляемые одновременно с ним в Контрольно-ревизионную комиссию Партизанского района.</w:t>
            </w:r>
          </w:p>
          <w:p w:rsidR="006A2C1C" w:rsidRDefault="009A6A63">
            <w:pPr>
              <w:ind w:firstLine="567"/>
              <w:jc w:val="both"/>
            </w:pPr>
            <w:r>
              <w:t>Объекты экспертно-аналитического мероприятия: финансовое управление администрации Партизанского района (далее-финансовое управление), главные администраторы (администраторы) доходов районного бюджета, главные распорядители (распорядители, получатели) бюджетных средств, главные администраторы (администраторы) источников финансирования дефицита бюджета.</w:t>
            </w:r>
          </w:p>
          <w:p w:rsidR="006A2C1C" w:rsidRDefault="009A6A63">
            <w:pPr>
              <w:ind w:firstLine="567"/>
              <w:jc w:val="both"/>
            </w:pPr>
            <w:r>
              <w:t xml:space="preserve">Цель экспертно-аналитического мероприятия: определить достоверность и обоснованность показателей (параметров и характеристик) районного бюджета. </w:t>
            </w:r>
          </w:p>
          <w:p w:rsidR="006A2C1C" w:rsidRDefault="009A6A63">
            <w:pPr>
              <w:ind w:firstLine="567"/>
              <w:jc w:val="both"/>
            </w:pPr>
            <w:r>
              <w:t xml:space="preserve"> Проект решения «О районном бюджете на 2025 год и плановый период 2026-2027 годов» внесен администрацией Партизанского района Красноярского края на рассмотрение в представительный орган Партизанского района в установленный срок, соответствующий статье 185 Бюджетного кодекса Российской Федерации (не позднее 15 ноября).</w:t>
            </w:r>
          </w:p>
          <w:p w:rsidR="006A2C1C" w:rsidRDefault="009A6A63">
            <w:pPr>
              <w:ind w:firstLine="567"/>
              <w:jc w:val="both"/>
            </w:pPr>
            <w:r>
              <w:t xml:space="preserve">Перечень документов, представленных одновременно с проектом решения о бюджете </w:t>
            </w:r>
            <w:r>
              <w:rPr>
                <w:b/>
                <w:bCs/>
              </w:rPr>
              <w:t xml:space="preserve">соответствует </w:t>
            </w:r>
            <w:r>
              <w:t>требованиям статьи 184.2 БК РФ, и статьями 24 Положения о бюджетном процессе в Партизанском районе.</w:t>
            </w:r>
          </w:p>
          <w:p w:rsidR="006A2C1C" w:rsidRDefault="009A6A63">
            <w:pPr>
              <w:ind w:firstLine="567"/>
              <w:jc w:val="both"/>
            </w:pPr>
            <w:r>
              <w:t xml:space="preserve">Состав показателей и характеристик (приложений), в представленном пакете документов, устанавливаемый проектом решения </w:t>
            </w:r>
            <w:r>
              <w:rPr>
                <w:b/>
                <w:bCs/>
              </w:rPr>
              <w:t>соответствует</w:t>
            </w:r>
            <w:r>
              <w:t xml:space="preserve"> требованиям статьи 184.1 Бюджетного кодекса Российской Федерации (далее - БК РФ).</w:t>
            </w:r>
          </w:p>
          <w:p w:rsidR="006A2C1C" w:rsidRDefault="009A6A63">
            <w:pPr>
              <w:ind w:firstLine="567"/>
              <w:jc w:val="both"/>
            </w:pPr>
            <w:r>
              <w:t xml:space="preserve">При подготовке данного заключения Контрольно-ревизионной комиссией учитывались положения основных направлений бюджетной и налоговой политики Красноярского края и  Партизанского района на 2025 год и плановый период 2026-2027 годов,  изменения федерального, краевого бюджетного и налогового законодательства. </w:t>
            </w:r>
          </w:p>
          <w:p w:rsidR="006A2C1C" w:rsidRDefault="009A6A63">
            <w:pPr>
              <w:ind w:firstLine="567"/>
              <w:jc w:val="both"/>
            </w:pPr>
            <w:r>
              <w:t>В составе материалов к проекту решения о бюджете представлены основные направления бюджетной и налоговой политики Партизанского района на 2025-2027 годы.</w:t>
            </w:r>
          </w:p>
          <w:p w:rsidR="00C138DB" w:rsidRDefault="009A6A63">
            <w:pPr>
              <w:ind w:firstLine="567"/>
              <w:jc w:val="both"/>
            </w:pPr>
            <w:r>
              <w:t xml:space="preserve">При подготовке Основных направлений были учтены положения Указа Президента </w:t>
            </w:r>
            <w:r>
              <w:lastRenderedPageBreak/>
              <w:t xml:space="preserve">Российской Федерации от 07.05.2024 № 309 «О национальных целях развития Российской Федерации на период до 2030 года и на перспективу до 2036 года» (далее – Указ Президента </w:t>
            </w:r>
          </w:p>
          <w:p w:rsidR="006A2C1C" w:rsidRDefault="00F27CAC" w:rsidP="00C138DB">
            <w:pPr>
              <w:jc w:val="both"/>
            </w:pPr>
            <w:r>
              <w:t xml:space="preserve">№ 309), </w:t>
            </w:r>
            <w:r w:rsidR="009A6A63">
              <w:t>Посланий Президента Российской Федерации Федеральному Собранию Российской Федерации, в том числе от 29.02.2024, перечня инициатив в сфере социально-экономического развития, планов первоочередных действий по обеспечению развития российской экономики в условиях внешнего санкционного давления.</w:t>
            </w:r>
          </w:p>
          <w:p w:rsidR="006A2C1C" w:rsidRDefault="009A6A63">
            <w:pPr>
              <w:ind w:firstLine="567"/>
              <w:jc w:val="both"/>
              <w:rPr>
                <w:b/>
              </w:rPr>
            </w:pPr>
            <w:r>
              <w:t>Целью Основных направлений является определение условий, используемых при составлении проекта районного бюджета на 2025 год  и  плановый период 2026</w:t>
            </w:r>
            <w:r>
              <w:rPr>
                <w:rFonts w:ascii="Symbol" w:eastAsia="Symbol" w:hAnsi="Symbol" w:cs="Symbol"/>
              </w:rPr>
              <w:t></w:t>
            </w:r>
            <w:r>
              <w:t>2027 годов, подходов к его формированию, основных характеристик и прогнозируемых параметров на 2025-2027 годы, выстраиваемых на принципах справедливости, предсказуемости и стабильности.</w:t>
            </w:r>
          </w:p>
          <w:p w:rsidR="006A2C1C" w:rsidRDefault="009A6A63">
            <w:pPr>
              <w:ind w:firstLine="567"/>
              <w:jc w:val="both"/>
            </w:pPr>
            <w:r>
              <w:t xml:space="preserve">Реализация бюджетной и налоговой политики района </w:t>
            </w:r>
            <w:r>
              <w:rPr>
                <w:bCs/>
              </w:rPr>
              <w:t xml:space="preserve">соответствует </w:t>
            </w:r>
            <w:r>
              <w:t>основным направлениям бюджетной и налоговой политики Российской</w:t>
            </w:r>
            <w:r>
              <w:rPr>
                <w:bCs/>
              </w:rPr>
              <w:t xml:space="preserve"> </w:t>
            </w:r>
            <w:r>
              <w:t xml:space="preserve">Федерации , Красноярского края и Партизанского района на 2025-2027 годы. </w:t>
            </w:r>
          </w:p>
          <w:p w:rsidR="006A2C1C" w:rsidRDefault="009A6A63">
            <w:pPr>
              <w:ind w:firstLine="567"/>
              <w:jc w:val="both"/>
            </w:pPr>
            <w:r>
              <w:t>Согласно основным направлениям бюджетной и налоговой политики Партизанского района, целями долговой политики являются обеспечение сбалансированности районного бюджета с учетом всех ограничений, установленных бюджетным законодательством РФ и поддержание объема и структуры государственного долга края на экономически безопасном уровне с учетом всех ограничений, установленных бюджетным законодательством РФ.</w:t>
            </w:r>
          </w:p>
          <w:p w:rsidR="006A2C1C" w:rsidRDefault="009A6A63">
            <w:pPr>
              <w:ind w:firstLine="567"/>
              <w:jc w:val="both"/>
            </w:pPr>
            <w:r>
              <w:t>Задачами долговой политики являются:</w:t>
            </w:r>
          </w:p>
          <w:p w:rsidR="006A2C1C" w:rsidRDefault="009A6A63">
            <w:pPr>
              <w:ind w:firstLine="567"/>
              <w:jc w:val="both"/>
            </w:pPr>
            <w:r>
              <w:t>планирование объемов и сроков привлечения заимствований  в соответствии с программой муниципальных внутренних заимствований Партизанского района;</w:t>
            </w:r>
          </w:p>
          <w:p w:rsidR="006A2C1C" w:rsidRDefault="009A6A63">
            <w:pPr>
              <w:ind w:firstLine="567"/>
              <w:jc w:val="both"/>
            </w:pPr>
            <w:r>
              <w:t>своевременное погашение и обслуживание долговых обязательств Партизанского района;</w:t>
            </w:r>
          </w:p>
          <w:p w:rsidR="006A2C1C" w:rsidRDefault="009A6A63">
            <w:pPr>
              <w:ind w:firstLine="567"/>
              <w:jc w:val="both"/>
            </w:pPr>
            <w:r>
              <w:t>соблюдение ограничений по объему муниципального долга и расходам на его обслуживание в соответствии с бюджетным законодательством Российской Федерации;</w:t>
            </w:r>
          </w:p>
          <w:p w:rsidR="006A2C1C" w:rsidRDefault="009A6A63">
            <w:pPr>
              <w:ind w:firstLine="567"/>
              <w:jc w:val="both"/>
            </w:pPr>
            <w:r>
              <w:t>ведение полного учета информации о муниципальном долге и формирование достоверной отчетности о муниципальных долговых обязательствах Партизанского района;</w:t>
            </w:r>
          </w:p>
          <w:p w:rsidR="006A2C1C" w:rsidRDefault="009A6A63">
            <w:pPr>
              <w:ind w:firstLine="567"/>
              <w:jc w:val="both"/>
            </w:pPr>
            <w:r>
              <w:t>минимизация рисков, связанных с осуществлением заимствованием;</w:t>
            </w:r>
          </w:p>
          <w:p w:rsidR="006A2C1C" w:rsidRDefault="009A6A63">
            <w:pPr>
              <w:ind w:firstLine="567"/>
              <w:jc w:val="both"/>
            </w:pPr>
            <w:r>
              <w:t>прозрачность (открытость) управления муниципальным долгом края.</w:t>
            </w:r>
          </w:p>
          <w:p w:rsidR="006A2C1C" w:rsidRDefault="009A6A63">
            <w:pPr>
              <w:ind w:firstLine="567"/>
              <w:jc w:val="both"/>
            </w:pPr>
            <w:r>
              <w:t xml:space="preserve">Реализация долговой политики Партизанского района направлена на привлечение заемных ресурсов при поддержании приемлемых уровней риска и стоимости заимствований, на повышение эффективности управления муниципальным долгом, сохранение уровня кредитоспособности (платежеспособности) района, позволит осуществить своевременное привлечение заимствований с наиболее благоприятными условиями, а также обеспечат достижение поставленных целей и задач. </w:t>
            </w:r>
          </w:p>
          <w:p w:rsidR="006A2C1C" w:rsidRDefault="009A6A63">
            <w:pPr>
              <w:ind w:firstLine="567"/>
              <w:jc w:val="both"/>
            </w:pPr>
            <w:r>
              <w:t>Контрольно-ревизионной комиссией проанализированы показатели, формирующие основные источники доходов районного бюджета, и основные направления расходов районного бюджета.</w:t>
            </w:r>
            <w:bookmarkEnd w:id="0"/>
          </w:p>
        </w:tc>
      </w:tr>
    </w:tbl>
    <w:p w:rsidR="006A2C1C" w:rsidRDefault="009A6A63">
      <w:pPr>
        <w:jc w:val="both"/>
      </w:pPr>
      <w:r>
        <w:lastRenderedPageBreak/>
        <w:t xml:space="preserve">  В отдельных случаях незначительные расхождения между итогом и суммой слагаемых объясняются округлением данных.</w:t>
      </w:r>
    </w:p>
    <w:p w:rsidR="006A2C1C" w:rsidRDefault="006A2C1C">
      <w:pPr>
        <w:jc w:val="both"/>
      </w:pPr>
    </w:p>
    <w:p w:rsidR="006A2C1C" w:rsidRDefault="009A6A63">
      <w:pPr>
        <w:ind w:firstLine="709"/>
        <w:jc w:val="center"/>
        <w:rPr>
          <w:b/>
        </w:rPr>
      </w:pPr>
      <w:r>
        <w:rPr>
          <w:b/>
        </w:rPr>
        <w:t>Прогноз социально-экономического развития Партизанского района на 2025 год и плановый период 2026-2027 годов</w:t>
      </w:r>
    </w:p>
    <w:p w:rsidR="006A2C1C" w:rsidRDefault="009A6A63" w:rsidP="00C138DB">
      <w:pPr>
        <w:ind w:right="57" w:firstLine="567"/>
        <w:jc w:val="both"/>
      </w:pPr>
      <w:r>
        <w:t>Согласно ст.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6A2C1C" w:rsidRDefault="009A6A63">
      <w:pPr>
        <w:ind w:firstLine="567"/>
        <w:jc w:val="both"/>
      </w:pPr>
      <w:r>
        <w:t>В представленном прогнозе социально-экономического развития уточнены параметры 2025-2026 годов, использованные при составлении Проекта решения о бюджете на 2024 год, и добавлены параметры 2027 года, что соответствует положениям п. 4 ст. 173 БК РФ.</w:t>
      </w:r>
    </w:p>
    <w:p w:rsidR="006A2C1C" w:rsidRDefault="009A6A63">
      <w:pPr>
        <w:ind w:firstLine="567"/>
        <w:jc w:val="both"/>
      </w:pPr>
      <w:r>
        <w:lastRenderedPageBreak/>
        <w:t xml:space="preserve">В соответствии с подпунктом 1 пункта 23 Положения о бюджетном процессе, проект районного бюджета составляется в целях финансового обеспечения расходных обязательств района на основе: </w:t>
      </w:r>
    </w:p>
    <w:p w:rsidR="006A2C1C" w:rsidRDefault="009A6A63">
      <w:pPr>
        <w:ind w:firstLine="567"/>
        <w:jc w:val="both"/>
        <w:outlineLvl w:val="1"/>
      </w:pPr>
      <w:r>
        <w:t>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A2C1C" w:rsidRDefault="009A6A63">
      <w:pPr>
        <w:ind w:firstLine="567"/>
        <w:jc w:val="both"/>
        <w:outlineLvl w:val="1"/>
      </w:pPr>
      <w:r>
        <w:t>основных направлений бюджетной и налоговой политики Партизанского района на очередной финансовый год и плановый период;</w:t>
      </w:r>
    </w:p>
    <w:p w:rsidR="00C138DB" w:rsidRDefault="009A6A63" w:rsidP="00F27CAC">
      <w:pPr>
        <w:ind w:firstLine="567"/>
        <w:jc w:val="both"/>
        <w:outlineLvl w:val="1"/>
      </w:pPr>
      <w:r>
        <w:t>прогноза социально-экономического развития Партизанского района на очередной финансовый год и плановый период;</w:t>
      </w:r>
    </w:p>
    <w:p w:rsidR="006A2C1C" w:rsidRDefault="009A6A63" w:rsidP="00C138DB">
      <w:pPr>
        <w:ind w:right="227" w:firstLine="567"/>
        <w:jc w:val="both"/>
        <w:outlineLvl w:val="1"/>
      </w:pPr>
      <w:r>
        <w:t>муниципальных программ (проектов муниципальных программ, проектов изменений указанных программ).</w:t>
      </w:r>
    </w:p>
    <w:p w:rsidR="006A2C1C" w:rsidRDefault="009A6A63">
      <w:pPr>
        <w:ind w:firstLine="567"/>
        <w:jc w:val="both"/>
      </w:pPr>
      <w:r>
        <w:t>Прогноз социально-экономического развития Партизанского района на 2025 год и плановый период 2026-2027 годов (далее - Прогноз СЭР) представлен одновременно с Проектом решения о районном бюджете, что соответствует требованиям статьи 184.2 БК РФ и пункту 24 Положения  о бюджетном процессе.</w:t>
      </w:r>
    </w:p>
    <w:p w:rsidR="006A2C1C" w:rsidRDefault="009A6A63">
      <w:pPr>
        <w:ind w:firstLine="567"/>
        <w:jc w:val="both"/>
      </w:pPr>
      <w:r>
        <w:t>В соответствии с пунктом 2 статьи 173 Бюджетного кодекса РФ Постановлением главы Партизанского района от 05.07.2017 № 389-п утверждено положение о порядке разработки прогноза социально-экономического развития Партизанского района.</w:t>
      </w:r>
    </w:p>
    <w:p w:rsidR="006A2C1C" w:rsidRDefault="009A6A63">
      <w:pPr>
        <w:ind w:firstLine="567"/>
        <w:jc w:val="both"/>
      </w:pPr>
      <w:r>
        <w:t>Представленный прогноз социально – экономического развития Партизанского района  до 2027 года, одобрен постановлением Главы Партизанского района  от 19.08.2024 № 463-п.</w:t>
      </w:r>
    </w:p>
    <w:p w:rsidR="006A2C1C" w:rsidRDefault="009A6A63">
      <w:pPr>
        <w:ind w:firstLine="567"/>
        <w:jc w:val="both"/>
      </w:pPr>
      <w:r>
        <w:t>В нарушение статьи 173 Бюджетного Кодекса Российской Федерации, статьи 6 Федерального закона от 28.06.2014г. № 172-ФЗ «О стратегическом планировании в Российской Федерации», прогноз социально-экономического развития Партизанского района на 2025 год и плановый период 2026-2027 годов, утвержден Постановлением Главы Партизанского района от 19.08.2024 № 463-п ранее принятия решения о внесении проекта решения о бюджете в Партизанский районный Совет депутатов.</w:t>
      </w:r>
    </w:p>
    <w:p w:rsidR="006A2C1C" w:rsidRDefault="009A6A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Прогноз СЭР разработан в двух вариантах - консервативном и базовом. В основу разработки основных параметров Проекта решения о районном бюджете положен 2 вариант - базовый (принятый для формирования краевого бюджета) который не предполагает кардинального изменения модели экономического развития и рассматривает развитие экономики в условиях сохранения консервативных тенденций изменения внешних факторов с учетом возможного ухудшения внешнеэкономических и иных условий и характеризуется сохранением сдержанной бюджетной политики.</w:t>
      </w:r>
    </w:p>
    <w:p w:rsidR="006A2C1C" w:rsidRDefault="009A6A63">
      <w:pPr>
        <w:ind w:firstLine="567"/>
        <w:jc w:val="both"/>
      </w:pPr>
      <w:r>
        <w:t xml:space="preserve">Базовый вариант предусматривает более ускоренное развитие экономического роста в районе за счет: </w:t>
      </w:r>
      <w:r>
        <w:tab/>
        <w:t>своевременной и полной реализации инвестиционных проектов; реализации муниципальных программ, в том числе с эффективным использованием государственных и муниципальных инвестиций; реализации на территории района национальных проектов; повышение инвестиций в развитие человеческого капитала.</w:t>
      </w:r>
    </w:p>
    <w:p w:rsidR="006A2C1C" w:rsidRDefault="009A6A63">
      <w:pPr>
        <w:ind w:firstLine="567"/>
        <w:jc w:val="both"/>
      </w:pPr>
      <w:r>
        <w:rPr>
          <w:spacing w:val="-4"/>
        </w:rPr>
        <w:t xml:space="preserve">Исходными  данными  для разработки  основных  показателей  прогноза социально-экономического  развития Партизанского района на 2025 год и плановый период 2026-2027 годов   являются  статистические данные за ряд предыдущих лет, оценка текущего года, анализ сложившихся тенденций развития экономики муниципального образования и прогноз развития предприятий и организаций всех форм собственности находящихся на территории района, с учетом индексов-дефляторов Министерства экономики Российской Федерации, </w:t>
      </w:r>
      <w:r>
        <w:t>данные паспорта  социально-экономического развития Партизанского района.</w:t>
      </w:r>
    </w:p>
    <w:p w:rsidR="006A2C1C" w:rsidRDefault="009A6A63">
      <w:pPr>
        <w:ind w:firstLine="567"/>
        <w:jc w:val="both"/>
      </w:pPr>
      <w:r>
        <w:t>Учтен рост потребительских цен по краю в среднегодовом исчислении, который в соответствии с базовым вариантом Прогноза СЭР составит 108,6% в 2024 году, в 2025 году 106,5%. В 2026-2027 годах прогнозируется среднегодовой рост потребительских цен (далее по тексту -  среднегодовой индекс потребительских цен по краю) 104,4% и 104,0% соответственно.</w:t>
      </w:r>
    </w:p>
    <w:p w:rsidR="006A2C1C" w:rsidRDefault="009A6A63">
      <w:pPr>
        <w:ind w:firstLine="567"/>
        <w:jc w:val="both"/>
      </w:pPr>
      <w:r>
        <w:lastRenderedPageBreak/>
        <w:t>Стратегия социально-экономического развития Партизанского района на период до 2030 года утверждена решением Партизанского районного Совета депутатов  от 18.07.2019 г № 43-187-р (далее - Стратегия).</w:t>
      </w:r>
    </w:p>
    <w:p w:rsidR="006A2C1C" w:rsidRDefault="009A6A63">
      <w:pPr>
        <w:ind w:firstLine="567"/>
        <w:jc w:val="both"/>
      </w:pPr>
      <w:r>
        <w:t>Стратегия является основным документом, определяющая экономическое развитие и стратегические установки, конкретные задачи на перспективу развития Партизанского района.</w:t>
      </w:r>
    </w:p>
    <w:p w:rsidR="006A2C1C" w:rsidRDefault="009A6A63">
      <w:pPr>
        <w:ind w:firstLine="567"/>
      </w:pPr>
      <w:r>
        <w:t>Реализация стратегии планируется в 3 этапа:</w:t>
      </w:r>
    </w:p>
    <w:p w:rsidR="006A2C1C" w:rsidRDefault="009A6A63">
      <w:pPr>
        <w:ind w:firstLine="567"/>
      </w:pPr>
      <w:r>
        <w:t xml:space="preserve">- первый этап – 2019-2020 годы; </w:t>
      </w:r>
    </w:p>
    <w:p w:rsidR="006A2C1C" w:rsidRDefault="009A6A63">
      <w:pPr>
        <w:ind w:firstLine="567"/>
      </w:pPr>
      <w:r>
        <w:t xml:space="preserve">- второй этап – 2021-2024 годы; </w:t>
      </w:r>
    </w:p>
    <w:p w:rsidR="006A2C1C" w:rsidRDefault="009A6A63">
      <w:pPr>
        <w:ind w:firstLine="567"/>
      </w:pPr>
      <w:r>
        <w:t>- третий этап – 2025-2030 годы.</w:t>
      </w:r>
    </w:p>
    <w:p w:rsidR="006A2C1C" w:rsidRDefault="009A6A63">
      <w:pPr>
        <w:ind w:firstLine="567"/>
        <w:jc w:val="both"/>
      </w:pPr>
      <w:r>
        <w:t xml:space="preserve">Приоритетными направлениями социально-экономического развития Партизанского района на 2019-2030 годы являются: </w:t>
      </w:r>
    </w:p>
    <w:p w:rsidR="006A2C1C" w:rsidRDefault="009A6A63">
      <w:pPr>
        <w:ind w:firstLine="567"/>
        <w:jc w:val="both"/>
      </w:pPr>
      <w:r>
        <w:t>1.Повышение качества жизни населения и развития человеческого потенциала.</w:t>
      </w:r>
    </w:p>
    <w:p w:rsidR="006A2C1C" w:rsidRDefault="009A6A63">
      <w:pPr>
        <w:ind w:firstLine="567"/>
        <w:jc w:val="both"/>
      </w:pPr>
      <w:r>
        <w:t>2.Развитие экономики</w:t>
      </w:r>
    </w:p>
    <w:p w:rsidR="006A2C1C" w:rsidRDefault="009A6A63">
      <w:pPr>
        <w:ind w:firstLine="567"/>
        <w:jc w:val="both"/>
      </w:pPr>
      <w:r>
        <w:t>3.Развитие транспортной и коммунальной инфраструктуры для жизнедеятельности.</w:t>
      </w:r>
    </w:p>
    <w:p w:rsidR="006A2C1C" w:rsidRDefault="009A6A63">
      <w:pPr>
        <w:ind w:firstLine="567"/>
        <w:jc w:val="both"/>
      </w:pPr>
      <w:r>
        <w:t>4.Повышение эффективности управления муниципальным образованием.</w:t>
      </w:r>
    </w:p>
    <w:p w:rsidR="006A2C1C" w:rsidRDefault="009A6A6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 каждому направлению на основе анализа текущего состояния определены конкурентные преимущества, цели, задачи, основные приоритеты развития и ожидаемые результаты. </w:t>
      </w:r>
    </w:p>
    <w:p w:rsidR="006A2C1C" w:rsidRDefault="009A6A63">
      <w:pPr>
        <w:ind w:firstLine="567"/>
        <w:jc w:val="both"/>
        <w:rPr>
          <w:color w:val="000000"/>
        </w:rPr>
      </w:pPr>
      <w:r>
        <w:rPr>
          <w:color w:val="000000"/>
        </w:rPr>
        <w:t>К 2030 году ожидается повышение рейтинга района среди муниципальных образований Красноярского края, закрепление позиции района как благополучного и комфортного для жизни.</w:t>
      </w:r>
    </w:p>
    <w:p w:rsidR="006A2C1C" w:rsidRDefault="009A6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color w:val="000000"/>
        </w:rPr>
      </w:pPr>
      <w:r>
        <w:rPr>
          <w:color w:val="000000"/>
        </w:rPr>
        <w:t>В результате анализа выявлено, что Стратегия разработана в отсутствие Прогноза социально - экономического развития Партизанского района на долгосрочный период, наличие которого предусмотрено пунктом 4 Постановления  главы Партизанского района от 11.07.2016 г № 237-п «Об утверждении Порядка разработки, корректировки, осуществления мониторинга и контроля реализации Стратегии социально-экономического развития Партизанского района» (далее-постановление о порядке разработки Стратегии).</w:t>
      </w:r>
    </w:p>
    <w:p w:rsidR="006A2C1C" w:rsidRDefault="009A6A63">
      <w:pPr>
        <w:ind w:firstLine="567"/>
        <w:jc w:val="both"/>
      </w:pPr>
      <w:r>
        <w:t xml:space="preserve">Из тех показателей которые имеют место в Прогнозе СЭР сопоставить их значения с показателями Стратегии до 2030 года на предстоящий бюджетный цикл </w:t>
      </w:r>
      <w:r>
        <w:rPr>
          <w:b/>
        </w:rPr>
        <w:t>не представляется</w:t>
      </w:r>
      <w:r>
        <w:t xml:space="preserve"> возможным, в связи с тем, что в Стратегии до 2030 года и в Плане реализации Стратегии до 2030 года отражены только финальные значения целевых показателей (2025 год и 2030 год), в связи с чем целесообразно установить промежуточные значения хотя бы части показателей </w:t>
      </w:r>
      <w:r w:rsidR="00BC6EE4">
        <w:t xml:space="preserve">на каждый год, для того, чтобы </w:t>
      </w:r>
      <w:r>
        <w:t xml:space="preserve"> осуществлять мониторинг реализации Стратегии до 2030 года предусмотренный п.13  Порядка разработки, корректировки, осуществления мониторинга и контроля реализации Стратегии социально-экономического развития Партизанского района, утвержденного постановлением главы Партизанского района от 11.07.2016 № 237-п </w:t>
      </w:r>
    </w:p>
    <w:p w:rsidR="006A2C1C" w:rsidRDefault="009A6A63">
      <w:pPr>
        <w:ind w:firstLine="567"/>
        <w:jc w:val="both"/>
      </w:pPr>
      <w:r>
        <w:t>(</w:t>
      </w:r>
      <w:r>
        <w:rPr>
          <w:i/>
          <w:u w:val="single"/>
        </w:rPr>
        <w:t>С момента утверждения Стратегии до 2030 года по сегодняшний день мониторинг ни разу не проводился</w:t>
      </w:r>
      <w:r>
        <w:t>).</w:t>
      </w:r>
    </w:p>
    <w:p w:rsidR="006A2C1C" w:rsidRDefault="006A2C1C">
      <w:pPr>
        <w:ind w:firstLine="708"/>
        <w:jc w:val="both"/>
      </w:pPr>
    </w:p>
    <w:p w:rsidR="00C138DB" w:rsidRDefault="00C138DB">
      <w:pPr>
        <w:ind w:firstLine="709"/>
        <w:jc w:val="center"/>
      </w:pPr>
    </w:p>
    <w:p w:rsidR="00C138DB" w:rsidRDefault="00C138DB">
      <w:pPr>
        <w:ind w:firstLine="709"/>
        <w:jc w:val="center"/>
      </w:pPr>
    </w:p>
    <w:p w:rsidR="00C138DB" w:rsidRDefault="00C138DB">
      <w:pPr>
        <w:ind w:firstLine="709"/>
        <w:jc w:val="center"/>
      </w:pPr>
    </w:p>
    <w:p w:rsidR="00C138DB" w:rsidRDefault="00C138DB">
      <w:pPr>
        <w:ind w:firstLine="709"/>
        <w:jc w:val="center"/>
      </w:pPr>
    </w:p>
    <w:p w:rsidR="00C138DB" w:rsidRDefault="00C138DB">
      <w:pPr>
        <w:ind w:firstLine="709"/>
        <w:jc w:val="center"/>
      </w:pPr>
    </w:p>
    <w:p w:rsidR="00C138DB" w:rsidRDefault="00C138DB">
      <w:pPr>
        <w:ind w:firstLine="709"/>
        <w:jc w:val="center"/>
      </w:pPr>
    </w:p>
    <w:p w:rsidR="00C138DB" w:rsidRDefault="00C138DB">
      <w:pPr>
        <w:ind w:firstLine="709"/>
        <w:jc w:val="center"/>
      </w:pPr>
    </w:p>
    <w:p w:rsidR="00F27CAC" w:rsidRDefault="00F27CAC">
      <w:pPr>
        <w:ind w:firstLine="709"/>
        <w:jc w:val="center"/>
      </w:pPr>
    </w:p>
    <w:p w:rsidR="00F27CAC" w:rsidRDefault="00F27CAC">
      <w:pPr>
        <w:ind w:firstLine="709"/>
        <w:jc w:val="center"/>
      </w:pPr>
    </w:p>
    <w:p w:rsidR="00F27CAC" w:rsidRDefault="00F27CAC">
      <w:pPr>
        <w:ind w:firstLine="709"/>
        <w:jc w:val="center"/>
      </w:pPr>
    </w:p>
    <w:p w:rsidR="00C138DB" w:rsidRDefault="00C138DB">
      <w:pPr>
        <w:ind w:firstLine="709"/>
        <w:jc w:val="center"/>
      </w:pPr>
    </w:p>
    <w:p w:rsidR="006A2C1C" w:rsidRDefault="009A6A63">
      <w:pPr>
        <w:ind w:firstLine="709"/>
        <w:jc w:val="center"/>
      </w:pPr>
      <w:r>
        <w:lastRenderedPageBreak/>
        <w:t>Основные макроэкономические показатели представлены в  таблице.</w:t>
      </w:r>
    </w:p>
    <w:p w:rsidR="006A2C1C" w:rsidRDefault="009A6A63">
      <w:pPr>
        <w:ind w:firstLine="709"/>
        <w:jc w:val="right"/>
      </w:pPr>
      <w:r>
        <w:t>Таблица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135"/>
        <w:gridCol w:w="991"/>
        <w:gridCol w:w="1134"/>
        <w:gridCol w:w="1134"/>
        <w:gridCol w:w="1137"/>
        <w:gridCol w:w="991"/>
      </w:tblGrid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5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 Отчет</w:t>
            </w:r>
          </w:p>
        </w:tc>
        <w:tc>
          <w:tcPr>
            <w:tcW w:w="991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 Отчет</w:t>
            </w:r>
          </w:p>
        </w:tc>
        <w:tc>
          <w:tcPr>
            <w:tcW w:w="1134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 Оценка</w:t>
            </w:r>
          </w:p>
        </w:tc>
        <w:tc>
          <w:tcPr>
            <w:tcW w:w="1134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 Прогноз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(базовый)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 Прогноз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(базовый)</w:t>
            </w:r>
          </w:p>
          <w:p w:rsidR="006A2C1C" w:rsidRDefault="006A2C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 Прогноз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(базовый)</w:t>
            </w:r>
          </w:p>
          <w:p w:rsidR="006A2C1C" w:rsidRDefault="006A2C1C">
            <w:pPr>
              <w:jc w:val="both"/>
              <w:rPr>
                <w:sz w:val="20"/>
                <w:szCs w:val="20"/>
              </w:rPr>
            </w:pPr>
          </w:p>
        </w:tc>
      </w:tr>
      <w:tr w:rsidR="006A2C1C" w:rsidTr="00C138DB">
        <w:trPr>
          <w:trHeight w:val="389"/>
        </w:trPr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населения, в среднем за период, чел.</w:t>
            </w:r>
          </w:p>
        </w:tc>
        <w:tc>
          <w:tcPr>
            <w:tcW w:w="1135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8202</w:t>
            </w:r>
          </w:p>
        </w:tc>
        <w:tc>
          <w:tcPr>
            <w:tcW w:w="991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8050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7918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7633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в трудоспособном возрасте, в среднем за период, чел.</w:t>
            </w:r>
          </w:p>
        </w:tc>
        <w:tc>
          <w:tcPr>
            <w:tcW w:w="1135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3 907,00</w:t>
            </w:r>
          </w:p>
        </w:tc>
        <w:tc>
          <w:tcPr>
            <w:tcW w:w="991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3 861,00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3 855,00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3 871,00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3871,0 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3876,0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занятых в экономике, в среднем за период,тыс. чел.</w:t>
            </w:r>
          </w:p>
        </w:tc>
        <w:tc>
          <w:tcPr>
            <w:tcW w:w="1135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3,156</w:t>
            </w:r>
          </w:p>
        </w:tc>
        <w:tc>
          <w:tcPr>
            <w:tcW w:w="991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3,113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3,106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3,119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3,117 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3,120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(сельское хозяйство), тыс. руб. 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предыдущему году в сопоставимых ценах</w:t>
            </w:r>
          </w:p>
        </w:tc>
        <w:tc>
          <w:tcPr>
            <w:tcW w:w="1135" w:type="dxa"/>
          </w:tcPr>
          <w:p w:rsidR="006A2C1C" w:rsidRDefault="009A6A63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110 342,00</w:t>
            </w:r>
          </w:p>
          <w:p w:rsidR="006A2C1C" w:rsidRDefault="006A2C1C">
            <w:pPr>
              <w:jc w:val="right"/>
              <w:outlineLvl w:val="2"/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69,10</w:t>
            </w:r>
          </w:p>
        </w:tc>
        <w:tc>
          <w:tcPr>
            <w:tcW w:w="991" w:type="dxa"/>
          </w:tcPr>
          <w:p w:rsidR="006A2C1C" w:rsidRDefault="009A6A63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179 062,00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102,3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179 162,00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100,5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179 362,00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tabs>
                <w:tab w:val="left" w:pos="664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180076,0 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101,2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180 076,00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101,5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(лесоводство, лесозаготовки), тыс. руб.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предыдущему году в сопоставимых ценах</w:t>
            </w:r>
          </w:p>
        </w:tc>
        <w:tc>
          <w:tcPr>
            <w:tcW w:w="1135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9 111,00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104,4</w:t>
            </w:r>
          </w:p>
        </w:tc>
        <w:tc>
          <w:tcPr>
            <w:tcW w:w="991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5 918,00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65,0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5 918,00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5 918,00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6090,0 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102,9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6280,0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103,1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инвестиций в основной капитал за счет всех источников финансирования , тыс. руб.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предыдущему году в сопоставимых ценах</w:t>
            </w:r>
          </w:p>
          <w:p w:rsidR="006A2C1C" w:rsidRDefault="009A6A6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расчете на одного человека, руб.</w:t>
            </w:r>
          </w:p>
        </w:tc>
        <w:tc>
          <w:tcPr>
            <w:tcW w:w="1135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462 437,00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162,84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43069,74</w:t>
            </w:r>
          </w:p>
        </w:tc>
        <w:tc>
          <w:tcPr>
            <w:tcW w:w="991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502 744,00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97,94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58406,34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532 378,00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96,71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61766,1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571 242,00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99,81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67216,98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616200,0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101,4 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71885,24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629733,0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97,8</w:t>
            </w:r>
          </w:p>
          <w:p w:rsidR="006A2C1C" w:rsidRDefault="006A2C1C">
            <w:pPr>
              <w:rPr>
                <w:sz w:val="17"/>
                <w:szCs w:val="17"/>
              </w:rPr>
            </w:pPr>
          </w:p>
          <w:p w:rsidR="006A2C1C" w:rsidRDefault="009A6A6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75216,01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 розничной торговли, тыс. руб.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предыдущему году в сопоставимых ценах</w:t>
            </w:r>
          </w:p>
        </w:tc>
        <w:tc>
          <w:tcPr>
            <w:tcW w:w="1135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756 299,00</w:t>
            </w: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97,5</w:t>
            </w:r>
          </w:p>
        </w:tc>
        <w:tc>
          <w:tcPr>
            <w:tcW w:w="991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861 014,70</w:t>
            </w: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102,5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971 148,40</w:t>
            </w: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105,7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1 073 742,60</w:t>
            </w: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105,9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1 162746,50 </w:t>
            </w:r>
          </w:p>
          <w:p w:rsidR="006A2C1C" w:rsidRDefault="009A6A63">
            <w:pPr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104,2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1247002,1</w:t>
            </w: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103,2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платных услуг, оказанных населению, тыс. руб.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предыдущему году в сопоставимых ценах</w:t>
            </w:r>
          </w:p>
        </w:tc>
        <w:tc>
          <w:tcPr>
            <w:tcW w:w="1135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98 746,41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95,67</w:t>
            </w:r>
          </w:p>
        </w:tc>
        <w:tc>
          <w:tcPr>
            <w:tcW w:w="991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101 906,29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94,85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113 989,83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101,5</w:t>
            </w:r>
          </w:p>
        </w:tc>
        <w:tc>
          <w:tcPr>
            <w:tcW w:w="1134" w:type="dxa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123 724,91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102,3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130 729,59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101,5 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138672,2</w:t>
            </w:r>
          </w:p>
          <w:p w:rsidR="006A2C1C" w:rsidRDefault="006A2C1C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</w:p>
          <w:p w:rsidR="006A2C1C" w:rsidRDefault="009A6A63">
            <w:pPr>
              <w:jc w:val="right"/>
              <w:outlineLvl w:val="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101,8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 общественного питания, тыс. руб.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предыдущему году в сопоставимых ценах</w:t>
            </w:r>
          </w:p>
        </w:tc>
        <w:tc>
          <w:tcPr>
            <w:tcW w:w="1135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21874,8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112,71</w:t>
            </w:r>
          </w:p>
        </w:tc>
        <w:tc>
          <w:tcPr>
            <w:tcW w:w="991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24124,4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27082,4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29251,6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30664,1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32175,6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Среднедушевой денежный доход (за месяц), руб.</w:t>
            </w:r>
          </w:p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среднедушевого денежного дохода в сопоставимых ценах (реальный), к соответствующему периоду предыдущего года, %</w:t>
            </w:r>
          </w:p>
        </w:tc>
        <w:tc>
          <w:tcPr>
            <w:tcW w:w="1135" w:type="dxa"/>
          </w:tcPr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28 340,10</w:t>
            </w: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112,4</w:t>
            </w:r>
          </w:p>
        </w:tc>
        <w:tc>
          <w:tcPr>
            <w:tcW w:w="991" w:type="dxa"/>
          </w:tcPr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32 307,70</w:t>
            </w: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107,7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39 092,30</w:t>
            </w: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108,1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43 079,70</w:t>
            </w: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105,0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46095,3</w:t>
            </w: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6A2C1C">
            <w:pPr>
              <w:jc w:val="center"/>
              <w:outlineLvl w:val="1"/>
              <w:rPr>
                <w:sz w:val="17"/>
                <w:szCs w:val="17"/>
              </w:rPr>
            </w:pPr>
          </w:p>
          <w:p w:rsidR="006A2C1C" w:rsidRDefault="009A6A6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102,9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49322,0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6A2C1C" w:rsidTr="00C138DB">
        <w:tc>
          <w:tcPr>
            <w:tcW w:w="3509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потребительских цен на товары и услуги, в среднем за период, к соответствующему периоду предыдущего года (СЭР Красноярского края), %</w:t>
            </w:r>
          </w:p>
        </w:tc>
        <w:tc>
          <w:tcPr>
            <w:tcW w:w="1135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114,21</w:t>
            </w:r>
          </w:p>
        </w:tc>
        <w:tc>
          <w:tcPr>
            <w:tcW w:w="991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134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137" w:type="dxa"/>
            <w:shd w:val="clear" w:color="FFFFFF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991" w:type="dxa"/>
            <w:shd w:val="clear" w:color="FFFFFF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</w:tbl>
    <w:p w:rsidR="006A2C1C" w:rsidRDefault="006A2C1C">
      <w:pPr>
        <w:ind w:firstLine="709"/>
        <w:jc w:val="both"/>
        <w:rPr>
          <w:color w:val="FF0000"/>
          <w:sz w:val="20"/>
          <w:szCs w:val="20"/>
          <w:highlight w:val="yellow"/>
        </w:rPr>
      </w:pPr>
    </w:p>
    <w:p w:rsidR="006A2C1C" w:rsidRDefault="009A6A63">
      <w:pPr>
        <w:ind w:firstLine="567"/>
        <w:jc w:val="both"/>
      </w:pPr>
      <w:r>
        <w:lastRenderedPageBreak/>
        <w:t>Данные таблицы по ряду макроэкономических показателей свидетельствуют об увеличении их темпов роста по сравнению с ожидаемым исполнением в 2024 году.</w:t>
      </w:r>
    </w:p>
    <w:p w:rsidR="006A2C1C" w:rsidRDefault="006A2C1C">
      <w:pPr>
        <w:ind w:firstLine="567"/>
        <w:jc w:val="both"/>
      </w:pPr>
    </w:p>
    <w:p w:rsidR="006A2C1C" w:rsidRDefault="009A6A63">
      <w:pPr>
        <w:ind w:firstLine="567"/>
        <w:jc w:val="both"/>
        <w:rPr>
          <w:b/>
          <w:bCs/>
        </w:rPr>
      </w:pPr>
      <w:r>
        <w:rPr>
          <w:b/>
          <w:bCs/>
        </w:rPr>
        <w:t>Уровень жизни населения</w:t>
      </w:r>
    </w:p>
    <w:p w:rsidR="006A2C1C" w:rsidRDefault="009A6A63">
      <w:pPr>
        <w:ind w:firstLine="567"/>
        <w:jc w:val="both"/>
      </w:pPr>
      <w:r>
        <w:t>Среднедушевой денежный доход по оценке 2024 года составит 39092,3 рублей, по прогнозу 2025 года ожидается 43079,7 рублей, в 2026 году 46095,3 рублей, в 2027 году - 49322,0 рублей.</w:t>
      </w:r>
    </w:p>
    <w:p w:rsidR="006A2C1C" w:rsidRDefault="009A6A63">
      <w:pPr>
        <w:ind w:firstLine="567"/>
        <w:jc w:val="both"/>
      </w:pPr>
      <w:r>
        <w:t>Фонд заработной платы работников списочного и не списочного состава организации, внешних совместителей по полному кругу организации по оценке 2024 года составит 1393307,6 тыс. рублей. По прогнозу 2025 года ожидается 1537084,08 тыс. рублей, в 2026 году - 1648229,37 тыс. рублей, в 2027 году - 1767405,84 тыс. рублей.</w:t>
      </w:r>
    </w:p>
    <w:p w:rsidR="006A2C1C" w:rsidRDefault="009A6A63">
      <w:pPr>
        <w:ind w:firstLine="567"/>
        <w:jc w:val="both"/>
      </w:pPr>
      <w:r>
        <w:t>Среднемесячная заработная плата работников списочного состава и внешних совместителей по полному кругу организации, по оценке 2024 года составит 62727,7 рублей, по прогнозу 2025 года ожидается 69125,9 рублей, в 2026 года – 73964,7 тыс. рублей, в 2027 году - 79142,3 рублей.</w:t>
      </w:r>
    </w:p>
    <w:p w:rsidR="006A2C1C" w:rsidRDefault="006A2C1C">
      <w:pPr>
        <w:ind w:firstLine="567"/>
        <w:jc w:val="both"/>
        <w:rPr>
          <w:b/>
          <w:bCs/>
        </w:rPr>
      </w:pPr>
    </w:p>
    <w:p w:rsidR="006A2C1C" w:rsidRDefault="009A6A63">
      <w:pPr>
        <w:ind w:firstLine="567"/>
        <w:jc w:val="both"/>
        <w:rPr>
          <w:b/>
          <w:bCs/>
        </w:rPr>
      </w:pPr>
      <w:r>
        <w:rPr>
          <w:b/>
          <w:bCs/>
        </w:rPr>
        <w:t>Рынок труда</w:t>
      </w:r>
    </w:p>
    <w:p w:rsidR="006A2C1C" w:rsidRDefault="009A6A63">
      <w:pPr>
        <w:ind w:firstLine="567"/>
        <w:jc w:val="both"/>
      </w:pPr>
      <w:r>
        <w:t>В 2024 году предполагается, что численность трудовых ресурсов составит 4,1 тыс. человек, в 2025 году- 4,14 тыс. человек, в 2026 году – 4,13 тыс. человек, в 2027 году – 4,14 тыс. человек. Численность занятых в экономике в среднем за период по оценке в 2024 году составит- 3,1 тыс. человек, в 2025 году составит 3,12 тыс. человек, в 2026 году - 3,11 тыс. человек, в 2027 году - 3,12 тыс. человек.</w:t>
      </w:r>
    </w:p>
    <w:p w:rsidR="006A2C1C" w:rsidRDefault="009A6A63">
      <w:pPr>
        <w:ind w:firstLine="567"/>
        <w:jc w:val="both"/>
      </w:pPr>
      <w:r>
        <w:t>Среднесписочная численность работников списочного состава организаций без внешних совместителей по полному кругу организаций по оценке 2024 года ожидается 1,85 тыс. человек, по прогнозным данным в 2025-2027 годы составит -1,8 тыс. человек.</w:t>
      </w:r>
    </w:p>
    <w:p w:rsidR="006A2C1C" w:rsidRDefault="006A2C1C">
      <w:pPr>
        <w:ind w:firstLine="567"/>
        <w:jc w:val="both"/>
        <w:rPr>
          <w:b/>
          <w:bCs/>
        </w:rPr>
      </w:pPr>
    </w:p>
    <w:p w:rsidR="006A2C1C" w:rsidRDefault="009A6A63">
      <w:pPr>
        <w:ind w:firstLine="567"/>
        <w:jc w:val="both"/>
        <w:rPr>
          <w:b/>
          <w:bCs/>
        </w:rPr>
      </w:pPr>
      <w:r>
        <w:rPr>
          <w:b/>
          <w:bCs/>
        </w:rPr>
        <w:t>Демографическая ситуация</w:t>
      </w:r>
    </w:p>
    <w:p w:rsidR="006A2C1C" w:rsidRDefault="009A6A63">
      <w:pPr>
        <w:ind w:firstLine="567"/>
        <w:jc w:val="both"/>
      </w:pPr>
      <w:r>
        <w:t>По оценке 2024 г. численность постоянного населения (среднегодовая) составит 7,989 тыс. человек. По прогнозу в 2025 году составит 7,848 тыс. человек, в 2026 году - 7,705 тыс. человек, в 2027 году - 7,653 тыс. человек.</w:t>
      </w:r>
    </w:p>
    <w:p w:rsidR="006A2C1C" w:rsidRDefault="006A2C1C">
      <w:pPr>
        <w:ind w:firstLine="567"/>
        <w:rPr>
          <w:b/>
          <w:bCs/>
        </w:rPr>
      </w:pPr>
    </w:p>
    <w:p w:rsidR="006A2C1C" w:rsidRDefault="009A6A63">
      <w:pPr>
        <w:ind w:firstLine="567"/>
        <w:rPr>
          <w:b/>
          <w:bCs/>
        </w:rPr>
      </w:pPr>
      <w:r>
        <w:rPr>
          <w:b/>
          <w:bCs/>
        </w:rPr>
        <w:t>Малое и среднее предпринимательство</w:t>
      </w:r>
    </w:p>
    <w:p w:rsidR="006A2C1C" w:rsidRDefault="009A6A63">
      <w:pPr>
        <w:ind w:firstLine="567"/>
        <w:jc w:val="both"/>
      </w:pPr>
      <w:r>
        <w:t>По состоянию на 01.01.2024 года на территории муниципального образования зарегистрировано 18 малых предприятий с численностью работающих 217 человек.</w:t>
      </w:r>
    </w:p>
    <w:p w:rsidR="006A2C1C" w:rsidRDefault="009A6A63">
      <w:pPr>
        <w:ind w:firstLine="567"/>
        <w:jc w:val="both"/>
      </w:pPr>
      <w:r>
        <w:t xml:space="preserve">В сфере малого бизнеса по состоянию на 01.01.2024 года зарегистрировано 184 индивидуальных предпринимателя, прошедших государственную регистрацию с наемными работниками в количестве 210 человек. В 2024 году ожидается небольшое увеличение числа индивидуальных предпринимателей до 186, к 2027 году увеличится до 190. </w:t>
      </w:r>
    </w:p>
    <w:p w:rsidR="006A2C1C" w:rsidRDefault="009A6A63">
      <w:pPr>
        <w:ind w:firstLine="567"/>
        <w:jc w:val="both"/>
      </w:pPr>
      <w:r>
        <w:t xml:space="preserve">По оценке 2024 года численность работающих в малом бизнесе составит 573 человек, в 2025 году- 567 человек, в 2026 году - 559 человек, в 2027 году – 556 человек. </w:t>
      </w:r>
    </w:p>
    <w:p w:rsidR="006A2C1C" w:rsidRDefault="006A2C1C">
      <w:pPr>
        <w:ind w:firstLine="567"/>
        <w:rPr>
          <w:b/>
          <w:bCs/>
        </w:rPr>
      </w:pPr>
    </w:p>
    <w:p w:rsidR="006A2C1C" w:rsidRDefault="009A6A63">
      <w:pPr>
        <w:ind w:firstLine="567"/>
        <w:rPr>
          <w:b/>
          <w:bCs/>
        </w:rPr>
      </w:pPr>
      <w:r>
        <w:rPr>
          <w:b/>
          <w:bCs/>
        </w:rPr>
        <w:t>Сельское хозяйство</w:t>
      </w:r>
    </w:p>
    <w:p w:rsidR="006A2C1C" w:rsidRDefault="009A6A63">
      <w:pPr>
        <w:ind w:firstLine="567"/>
        <w:jc w:val="both"/>
      </w:pPr>
      <w:r>
        <w:t>Объем произведенных товаров, выполненных работ и услуг по разделу сельское хозяйство (в хозяйствах всех категорий) : по оценке 2024 года составит 830 251 тыс. рублей, по прогнозу в 2025 году - 881 929 тыс. рублей, в 2026 году - 933 687 тыс. рублей, в 2027 году - 989 811 тыс. рублей</w:t>
      </w:r>
    </w:p>
    <w:p w:rsidR="006A2C1C" w:rsidRDefault="009A6A63">
      <w:pPr>
        <w:ind w:firstLine="567"/>
        <w:jc w:val="both"/>
      </w:pPr>
      <w:r>
        <w:t xml:space="preserve">Объем произведенных товаров, выполненных работ и услуг собственными силами крестьянских (фермерских) хозяйств: по оценке 2024 года составит – 208 698 тыс. рублей, по прогнозу в 2025 году – 222 642 тыс. рублей, в 2026 году – 235 486 тыс. рублей, в 2027 году - 252 241 тыс. рублей. Увеличение производства планируется за счет роста </w:t>
      </w:r>
      <w:r>
        <w:lastRenderedPageBreak/>
        <w:t>количества крестьянско-фермерских хозяйств (преобразование из личных подсобных хозяйств).</w:t>
      </w:r>
    </w:p>
    <w:p w:rsidR="006A2C1C" w:rsidRDefault="009A6A63">
      <w:pPr>
        <w:ind w:firstLine="567"/>
        <w:jc w:val="both"/>
      </w:pPr>
      <w:r>
        <w:t>Личные подсобные хозяйства населения являются важной составной частью сельскохозяйственного производства. Объем произведенных товаров силами хозяйств населения : по оценке 2024 года объем планируется в сумме 433 042 тыс. рублей, по прогнозу 2025 года 459 423 тыс. рублей, в 2026 году - 485 585 тыс. рублей, в 2027 году - 511 703 тыс. рублей. Рост производства планируется за счет увеличения личных подсобных хозяйств, в связи с тенденцией увеличения индивидуального домостроения.</w:t>
      </w:r>
    </w:p>
    <w:p w:rsidR="006A2C1C" w:rsidRDefault="009A6A63">
      <w:pPr>
        <w:ind w:firstLine="567"/>
        <w:jc w:val="both"/>
      </w:pPr>
      <w:r>
        <w:t>Объем произведенных товаров, выполненных работ и услуг собственными силами в сельскохозяйственных организациях : по оценке 2024 года объем планируется в сумме 188 511 тыс. рублей, по прогнозу 2025 года 199 864 тыс. рублей, в 2026 году - 212 616 тыс.</w:t>
      </w:r>
    </w:p>
    <w:p w:rsidR="006A2C1C" w:rsidRDefault="009A6A63">
      <w:pPr>
        <w:ind w:firstLine="567"/>
        <w:jc w:val="both"/>
      </w:pPr>
      <w:r>
        <w:t>рублей, в 2027 году – 225 868 тыс. рублей.</w:t>
      </w:r>
    </w:p>
    <w:p w:rsidR="006A2C1C" w:rsidRDefault="006A2C1C">
      <w:pPr>
        <w:ind w:firstLine="567"/>
        <w:rPr>
          <w:b/>
          <w:bCs/>
        </w:rPr>
      </w:pPr>
    </w:p>
    <w:p w:rsidR="006A2C1C" w:rsidRDefault="009A6A63">
      <w:pPr>
        <w:ind w:firstLine="567"/>
        <w:rPr>
          <w:b/>
          <w:bCs/>
        </w:rPr>
      </w:pPr>
      <w:r>
        <w:rPr>
          <w:b/>
          <w:bCs/>
        </w:rPr>
        <w:t>Розничная торговля</w:t>
      </w:r>
    </w:p>
    <w:p w:rsidR="006A2C1C" w:rsidRDefault="009A6A63">
      <w:pPr>
        <w:ind w:firstLine="567"/>
        <w:jc w:val="both"/>
      </w:pPr>
      <w:r>
        <w:t>В инфраструктуре потребительского рынка в районе на 01.01.2024 года функционирует 88 магазинов. По числу магазинов и численности работников отрасль торговли сохраняет лидирующее положение. Сегодня в каждом населенном пункте района осуществляется торговое обслуживание.</w:t>
      </w:r>
    </w:p>
    <w:p w:rsidR="006A2C1C" w:rsidRDefault="009A6A63">
      <w:pPr>
        <w:ind w:firstLine="567"/>
        <w:jc w:val="both"/>
      </w:pPr>
      <w:r>
        <w:t>В структуре розничной торговли 100% занимает частная торговля, оборот которой по оценке 2024 года составит 971148,4тыс. рублей, по прогнозу в 2025 году составит 1062610,5 тыс. рублей, в 2026 году – 1134247,9 тыс. рублей, в 2027 году – 1200031,8 тыс. рублей.</w:t>
      </w:r>
    </w:p>
    <w:p w:rsidR="006A2C1C" w:rsidRDefault="006A2C1C">
      <w:pPr>
        <w:ind w:firstLine="567"/>
        <w:rPr>
          <w:b/>
          <w:bCs/>
        </w:rPr>
      </w:pPr>
    </w:p>
    <w:p w:rsidR="006A2C1C" w:rsidRDefault="009A6A63">
      <w:pPr>
        <w:ind w:firstLine="567"/>
        <w:rPr>
          <w:b/>
          <w:bCs/>
        </w:rPr>
      </w:pPr>
      <w:r>
        <w:rPr>
          <w:b/>
          <w:bCs/>
        </w:rPr>
        <w:t>Платные услуги населению</w:t>
      </w:r>
    </w:p>
    <w:p w:rsidR="006A2C1C" w:rsidRDefault="009A6A63">
      <w:pPr>
        <w:ind w:firstLine="567"/>
        <w:jc w:val="both"/>
      </w:pPr>
      <w:r>
        <w:t>Объем платных услуг населению по оценке 2024 года составит 113989,83 тыс. рублей, по прогнозу в 2025 году – 122394,53 тыс. рублей, в 2026 – 129313,25 тыс. рублей, в 2027 году объем платных услуг населению составит 137163,08 тыс. рублей.</w:t>
      </w:r>
    </w:p>
    <w:p w:rsidR="006A2C1C" w:rsidRDefault="006A2C1C">
      <w:pPr>
        <w:ind w:firstLine="567"/>
        <w:rPr>
          <w:b/>
        </w:rPr>
      </w:pPr>
    </w:p>
    <w:p w:rsidR="006A2C1C" w:rsidRDefault="009A6A63">
      <w:pPr>
        <w:ind w:firstLine="567"/>
        <w:rPr>
          <w:b/>
        </w:rPr>
      </w:pPr>
      <w:r>
        <w:rPr>
          <w:b/>
        </w:rPr>
        <w:t>Инвестиции</w:t>
      </w:r>
    </w:p>
    <w:p w:rsidR="006A2C1C" w:rsidRDefault="009A6A63">
      <w:pPr>
        <w:ind w:firstLine="567"/>
        <w:jc w:val="both"/>
      </w:pPr>
      <w:r>
        <w:t>В 2024 году объем инвестиций в основной капитал в расчете на 1 человека населения составит 61766,10 рублей, что составляет 105,75 % к уровню 2023 года. Увеличение объема инвестиций в основной капитал инвестора ООО «Разрез Саяно-Партизанский».</w:t>
      </w:r>
    </w:p>
    <w:p w:rsidR="006A2C1C" w:rsidRDefault="009A6A63">
      <w:pPr>
        <w:ind w:firstLine="567"/>
        <w:jc w:val="both"/>
      </w:pPr>
      <w:r>
        <w:t>В 2025 году объем инвестиций в основной капитал в расчете на 1 человека населения составит 67216,98 рублей, что составляет 108,8 % к уровню 2024 года (за счет увеличения объема инвестиций инвестора ООО «Разрез Саяно-Партизанский»).</w:t>
      </w:r>
    </w:p>
    <w:p w:rsidR="006A2C1C" w:rsidRDefault="009A6A63">
      <w:pPr>
        <w:ind w:firstLine="567"/>
        <w:jc w:val="both"/>
      </w:pPr>
      <w:r>
        <w:t>В 2026 году объем инвестиций в основной капитал в расчете на 1 человека населения составит 71741,12 рублей, что составляет 106,7 % к уровню 2025 года (за счет увеличения объема инвестиций инвестора ООО «Разрез Саяно-Партизанский» и увеличение по разделу "Образование" ПСД по малоформатному учебному центру на 115 учащихся в с. Стойба).</w:t>
      </w:r>
    </w:p>
    <w:p w:rsidR="006A2C1C" w:rsidRDefault="009A6A63">
      <w:pPr>
        <w:ind w:firstLine="567"/>
        <w:jc w:val="both"/>
      </w:pPr>
      <w:r>
        <w:t>В 2027 году объем инвестиций в основной капитал в расчете на 1 человека населения составит 75216.01 рублей, что составляет 104.84% к уровню 2026 года (за счет увеличения объема инвестиций инвестора ООО «Разрез Саяно-Партизанский»).</w:t>
      </w:r>
    </w:p>
    <w:p w:rsidR="006A2C1C" w:rsidRDefault="009A6A63">
      <w:pPr>
        <w:ind w:firstLine="567"/>
        <w:jc w:val="both"/>
      </w:pPr>
      <w:r>
        <w:rPr>
          <w:i/>
          <w:iCs/>
        </w:rPr>
        <w:t>С целью анализа планирования районного бюджета в очередном бюджетном цикле Контрольно-ревизионной комиссией проведена оценка рисков не достижения отдельных показателей Прогноза СЭР и отсутствие ряда показателей в Прогнозе СЭР, на основании которых осуществляется планирование целевых показателей в рамках реализации мероприятий муниципальных программ Партизанского района</w:t>
      </w:r>
      <w:r>
        <w:t>.</w:t>
      </w:r>
    </w:p>
    <w:p w:rsidR="006A2C1C" w:rsidRDefault="009A6A63">
      <w:pPr>
        <w:ind w:firstLine="567"/>
        <w:jc w:val="both"/>
      </w:pPr>
      <w:r>
        <w:t xml:space="preserve">По МП «Развитие образования» представлены показатели на 2025-2027 годы по следующему целевому индикатору «доля детей в возрасте от 5 до 18 лет, получающих </w:t>
      </w:r>
      <w:r>
        <w:lastRenderedPageBreak/>
        <w:t xml:space="preserve">услуги по дополнительному образованию в организациях всех форм собственности, в общей численности детей данной возрастной группы» не менее 75% ежегодно. </w:t>
      </w:r>
    </w:p>
    <w:p w:rsidR="006A2C1C" w:rsidRDefault="009A6A63">
      <w:pPr>
        <w:ind w:firstLine="567"/>
        <w:jc w:val="both"/>
      </w:pPr>
      <w:r>
        <w:t>В Прогнозе СЭР в прогнозном периоде 2025-2027годах по этим целевым индикаторам показатели составляют не менее 67 % ежегодно, следовательно, между показателями Прогноза СЭР и показателями результативности, представленных в муниципальных программах отсутствует взаимосвязь.</w:t>
      </w:r>
    </w:p>
    <w:p w:rsidR="006A2C1C" w:rsidRDefault="009A6A63">
      <w:pPr>
        <w:ind w:firstLine="567"/>
        <w:jc w:val="both"/>
      </w:pPr>
      <w:r>
        <w:t>В соответствии со ст.172 Бюджетного кодекса РФ определено, что составление проектов бюджетов основывается на муниципальных программах, а также прогнозе социально-экономического развития.</w:t>
      </w:r>
    </w:p>
    <w:p w:rsidR="006A2C1C" w:rsidRDefault="009A6A63">
      <w:pPr>
        <w:ind w:firstLine="567"/>
        <w:jc w:val="both"/>
        <w:rPr>
          <w:b/>
          <w:bCs/>
        </w:rPr>
      </w:pPr>
      <w:r>
        <w:t xml:space="preserve">При формировании Прогноза СЭР </w:t>
      </w:r>
      <w:r>
        <w:rPr>
          <w:b/>
          <w:bCs/>
        </w:rPr>
        <w:t xml:space="preserve">не в полной мере соблюдены </w:t>
      </w:r>
      <w:r>
        <w:t>требования ст. 37, ст.172 Бюджетного кодекса РФ</w:t>
      </w:r>
      <w:r>
        <w:rPr>
          <w:b/>
          <w:bCs/>
        </w:rPr>
        <w:t xml:space="preserve">, отсутствует </w:t>
      </w:r>
      <w:r>
        <w:t>взаимосвязь</w:t>
      </w:r>
      <w:r>
        <w:rPr>
          <w:b/>
          <w:bCs/>
        </w:rPr>
        <w:t xml:space="preserve"> </w:t>
      </w:r>
      <w:r>
        <w:t>показателей результативности в муниципальных программах в прогнозном</w:t>
      </w:r>
      <w:r>
        <w:rPr>
          <w:b/>
          <w:bCs/>
        </w:rPr>
        <w:t xml:space="preserve"> </w:t>
      </w:r>
      <w:r>
        <w:t>периоде с показателями Прогноза СЭР.</w:t>
      </w:r>
    </w:p>
    <w:p w:rsidR="006A2C1C" w:rsidRDefault="006A2C1C">
      <w:pPr>
        <w:jc w:val="center"/>
        <w:rPr>
          <w:b/>
        </w:rPr>
      </w:pPr>
    </w:p>
    <w:p w:rsidR="006A2C1C" w:rsidRDefault="009A6A63">
      <w:pPr>
        <w:jc w:val="center"/>
        <w:rPr>
          <w:b/>
        </w:rPr>
      </w:pPr>
      <w:r>
        <w:rPr>
          <w:b/>
        </w:rPr>
        <w:t xml:space="preserve">Основные  характеристики районного бюджета на 2025 год и </w:t>
      </w:r>
    </w:p>
    <w:p w:rsidR="006A2C1C" w:rsidRDefault="009A6A63">
      <w:pPr>
        <w:jc w:val="center"/>
        <w:rPr>
          <w:b/>
        </w:rPr>
      </w:pPr>
      <w:r>
        <w:rPr>
          <w:b/>
        </w:rPr>
        <w:t>плановый период 2026-2027 годов</w:t>
      </w:r>
    </w:p>
    <w:p w:rsidR="006A2C1C" w:rsidRDefault="009A6A63">
      <w:pPr>
        <w:ind w:firstLine="567"/>
        <w:jc w:val="both"/>
      </w:pPr>
      <w:r>
        <w:t>При расчете объема доходов и расходов районного бюджета учитывались принятые и предполагаемые к принятию изменения, и дополнения в законодательство Российской Федерации (далее - РФ) о налогах и сборах и бюджетное законодательство, и основные направления налоговой политики Красноярского края и Партизанского района на 2025 год и плановый период 2026 и 2027 годов.</w:t>
      </w:r>
    </w:p>
    <w:p w:rsidR="006A2C1C" w:rsidRDefault="009A6A63">
      <w:pPr>
        <w:ind w:firstLine="567"/>
        <w:jc w:val="both"/>
      </w:pPr>
      <w:r>
        <w:t>Проект решения районного бюджета на 2025 год и плановый период 2026-2027 годов предусматривает детализированную структуру расходов районного бюджета на три года, в том числе распределение бюджетных ассигнований по главным распорядителям средств районного бюджета, а также средств краевого бюджета в 2025-2027 годах в соответствии с проектом краевого закона  «О краевом бюджете на 2025 год и на плановый период 2026 и 2027 годов».</w:t>
      </w:r>
    </w:p>
    <w:p w:rsidR="006A2C1C" w:rsidRDefault="009A6A63">
      <w:pPr>
        <w:ind w:firstLine="567"/>
        <w:jc w:val="both"/>
      </w:pPr>
      <w:r>
        <w:t xml:space="preserve">Проект районного бюджета на 2025 год сформирован с учетом равенства расходов с доходами, на плановый период 2026-2027 годы не предусмотрено превышения расходов над доходами. Дефицит районного бюджета в объеме 0,0 тыс.рублей ежегодно. </w:t>
      </w:r>
    </w:p>
    <w:p w:rsidR="006A2C1C" w:rsidRDefault="009A6A63">
      <w:pPr>
        <w:ind w:firstLine="567"/>
        <w:jc w:val="both"/>
      </w:pPr>
      <w:r>
        <w:t xml:space="preserve">В соответствии со ст.33 БК РФ принцип сбалансированности соблюден. </w:t>
      </w:r>
    </w:p>
    <w:p w:rsidR="006A2C1C" w:rsidRDefault="009A6A63">
      <w:pPr>
        <w:ind w:firstLine="567"/>
        <w:jc w:val="both"/>
      </w:pPr>
      <w:r>
        <w:t>В проекте решения о бюджете предлагается утвердить районный бюджет:</w:t>
      </w:r>
    </w:p>
    <w:p w:rsidR="006A2C1C" w:rsidRDefault="009A6A63">
      <w:pPr>
        <w:ind w:firstLine="567"/>
        <w:jc w:val="both"/>
      </w:pPr>
      <w:r>
        <w:t>- на 2025 год по доходам в сумме 794376,8 тыс. рублей и по расходам в сумме</w:t>
      </w:r>
    </w:p>
    <w:p w:rsidR="006A2C1C" w:rsidRDefault="009A6A63">
      <w:pPr>
        <w:ind w:firstLine="567"/>
        <w:jc w:val="both"/>
      </w:pPr>
      <w:r>
        <w:t>794376,8 тыс. рублей.</w:t>
      </w:r>
    </w:p>
    <w:p w:rsidR="006A2C1C" w:rsidRDefault="009A6A63">
      <w:pPr>
        <w:ind w:firstLine="567"/>
        <w:jc w:val="both"/>
      </w:pPr>
      <w:r>
        <w:t>Прогнозируемый дефицит районного бюджета 0,00 руб.</w:t>
      </w:r>
    </w:p>
    <w:p w:rsidR="006A2C1C" w:rsidRDefault="009A6A63">
      <w:pPr>
        <w:ind w:firstLine="567"/>
        <w:jc w:val="both"/>
      </w:pPr>
      <w:r>
        <w:t>Источники внутреннего финансирования дефицита районного бюджета в сумме 0,0 тыс.рублей;</w:t>
      </w:r>
    </w:p>
    <w:p w:rsidR="006A2C1C" w:rsidRDefault="009A6A63">
      <w:pPr>
        <w:ind w:firstLine="567"/>
        <w:jc w:val="both"/>
      </w:pPr>
      <w:r>
        <w:t>- на 2026 год по доходам в сумме 811321,1 тыс. рублей и по расходам в сумме</w:t>
      </w:r>
    </w:p>
    <w:p w:rsidR="006A2C1C" w:rsidRDefault="009A6A63">
      <w:pPr>
        <w:ind w:firstLine="567"/>
        <w:jc w:val="both"/>
      </w:pPr>
      <w:r>
        <w:t>811321,1 тыс. рублей, в том числе условно утвержденные расходы в сумме 20283,0 тыс.рублей.</w:t>
      </w:r>
    </w:p>
    <w:p w:rsidR="006A2C1C" w:rsidRDefault="009A6A63">
      <w:pPr>
        <w:ind w:firstLine="567"/>
        <w:jc w:val="both"/>
      </w:pPr>
      <w:r>
        <w:t>Прогнозируемый дефицит районного бюджета 0,0 тыс. рублей.</w:t>
      </w:r>
    </w:p>
    <w:p w:rsidR="006A2C1C" w:rsidRDefault="009A6A63">
      <w:pPr>
        <w:ind w:firstLine="567"/>
        <w:jc w:val="both"/>
      </w:pPr>
      <w:r>
        <w:t>Источники внутреннего финансирования дефицита районного бюджета 0,0 тыс. рублей.</w:t>
      </w:r>
    </w:p>
    <w:p w:rsidR="006A2C1C" w:rsidRDefault="009A6A63">
      <w:pPr>
        <w:ind w:firstLine="567"/>
        <w:jc w:val="both"/>
      </w:pPr>
      <w:r>
        <w:t>- на 2027 год по доходам в сумме 827194,5 тыс. рублей и по расходам в сумме</w:t>
      </w:r>
    </w:p>
    <w:p w:rsidR="006A2C1C" w:rsidRDefault="009A6A63">
      <w:pPr>
        <w:ind w:firstLine="567"/>
        <w:jc w:val="both"/>
      </w:pPr>
      <w:r>
        <w:t xml:space="preserve">827194,5 тыс. рублей, в том числе условно утвержденные расходы в сумме 41359,7 тыс.рублей. </w:t>
      </w:r>
    </w:p>
    <w:p w:rsidR="006A2C1C" w:rsidRDefault="009A6A63">
      <w:pPr>
        <w:ind w:firstLine="567"/>
        <w:jc w:val="both"/>
      </w:pPr>
      <w:r>
        <w:t>Прогнозируемый дефицит районного бюджета 0,0тыс. рублей.</w:t>
      </w:r>
    </w:p>
    <w:p w:rsidR="006A2C1C" w:rsidRDefault="009A6A63">
      <w:pPr>
        <w:ind w:firstLine="567"/>
        <w:jc w:val="both"/>
        <w:rPr>
          <w:b/>
        </w:rPr>
      </w:pPr>
      <w:r>
        <w:t>Источники внутреннего финансирования дефицита районного бюджета 0,0 тыс. рублей.</w:t>
      </w:r>
    </w:p>
    <w:p w:rsidR="006A2C1C" w:rsidRDefault="006A2C1C"/>
    <w:p w:rsidR="00C138DB" w:rsidRDefault="00C138DB"/>
    <w:p w:rsidR="006A2C1C" w:rsidRDefault="009A6A63">
      <w:pPr>
        <w:jc w:val="center"/>
      </w:pPr>
      <w:r>
        <w:lastRenderedPageBreak/>
        <w:t>Согласно представленному  проекту районного бюджета на 2025 год и на плановый период 2026 - 2027 годов  планируемые основные параметры районного бюджета представлены в таблице</w:t>
      </w:r>
    </w:p>
    <w:p w:rsidR="006A2C1C" w:rsidRDefault="009A6A63">
      <w:pPr>
        <w:jc w:val="right"/>
      </w:pPr>
      <w:r>
        <w:t>(тыс. рублей)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559"/>
        <w:gridCol w:w="1134"/>
        <w:gridCol w:w="1134"/>
        <w:gridCol w:w="1134"/>
        <w:gridCol w:w="1701"/>
      </w:tblGrid>
      <w:tr w:rsidR="006A2C1C" w:rsidTr="00C138DB">
        <w:tc>
          <w:tcPr>
            <w:tcW w:w="3323" w:type="dxa"/>
            <w:vMerge w:val="restart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bottom"/>
          </w:tcPr>
          <w:p w:rsidR="006A2C1C" w:rsidRDefault="009A6A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Утверждено первоначально</w:t>
            </w:r>
          </w:p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103" w:type="dxa"/>
            <w:gridSpan w:val="4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бюджете</w:t>
            </w:r>
          </w:p>
        </w:tc>
      </w:tr>
      <w:tr w:rsidR="006A2C1C" w:rsidTr="00C138DB">
        <w:tc>
          <w:tcPr>
            <w:tcW w:w="3323" w:type="dxa"/>
            <w:vMerge/>
          </w:tcPr>
          <w:p w:rsidR="006A2C1C" w:rsidRDefault="006A2C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2C1C" w:rsidRDefault="006A2C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01" w:type="dxa"/>
          </w:tcPr>
          <w:p w:rsidR="006A2C1C" w:rsidRDefault="009A6A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Прирост/снижение </w:t>
            </w:r>
          </w:p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к 2024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6=3-2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706845,5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794376,8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811321,1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827194,5</w:t>
            </w:r>
          </w:p>
        </w:tc>
        <w:tc>
          <w:tcPr>
            <w:tcW w:w="1701" w:type="dxa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+87531,3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6A2C1C" w:rsidRDefault="006A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C1C" w:rsidRDefault="006A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C1C" w:rsidRDefault="006A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C1C" w:rsidRDefault="006A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2C1C" w:rsidRDefault="006A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98193,4</w:t>
            </w:r>
          </w:p>
        </w:tc>
        <w:tc>
          <w:tcPr>
            <w:tcW w:w="1134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120904,5</w:t>
            </w:r>
          </w:p>
        </w:tc>
        <w:tc>
          <w:tcPr>
            <w:tcW w:w="1134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125684,1</w:t>
            </w:r>
          </w:p>
        </w:tc>
        <w:tc>
          <w:tcPr>
            <w:tcW w:w="1134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130355,6</w:t>
            </w:r>
          </w:p>
        </w:tc>
        <w:tc>
          <w:tcPr>
            <w:tcW w:w="1701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+22711,1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поступления, всего</w:t>
            </w:r>
          </w:p>
        </w:tc>
        <w:tc>
          <w:tcPr>
            <w:tcW w:w="1559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608652,1</w:t>
            </w:r>
          </w:p>
        </w:tc>
        <w:tc>
          <w:tcPr>
            <w:tcW w:w="1134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673472,3</w:t>
            </w:r>
          </w:p>
        </w:tc>
        <w:tc>
          <w:tcPr>
            <w:tcW w:w="1134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685637,0</w:t>
            </w:r>
          </w:p>
        </w:tc>
        <w:tc>
          <w:tcPr>
            <w:tcW w:w="1134" w:type="dxa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696838,9</w:t>
            </w:r>
          </w:p>
        </w:tc>
        <w:tc>
          <w:tcPr>
            <w:tcW w:w="1701" w:type="dxa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+64820,2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706845,5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794376,8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811321,1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827194,5</w:t>
            </w:r>
          </w:p>
        </w:tc>
        <w:tc>
          <w:tcPr>
            <w:tcW w:w="1701" w:type="dxa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+87531,3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(справочно)</w:t>
            </w:r>
          </w:p>
        </w:tc>
        <w:tc>
          <w:tcPr>
            <w:tcW w:w="1559" w:type="dxa"/>
            <w:vAlign w:val="bottom"/>
          </w:tcPr>
          <w:p w:rsidR="006A2C1C" w:rsidRDefault="006A2C1C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A2C1C" w:rsidRDefault="006A2C1C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A2C1C" w:rsidRDefault="006A2C1C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A2C1C" w:rsidRDefault="006A2C1C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A2C1C" w:rsidRDefault="006A2C1C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A2C1C" w:rsidTr="00C138DB">
        <w:tc>
          <w:tcPr>
            <w:tcW w:w="3323" w:type="dxa"/>
            <w:vAlign w:val="bottom"/>
          </w:tcPr>
          <w:p w:rsidR="006A2C1C" w:rsidRDefault="009A6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Программная часть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652596,5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734399,4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730675,7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727826,5</w:t>
            </w:r>
          </w:p>
        </w:tc>
        <w:tc>
          <w:tcPr>
            <w:tcW w:w="1701" w:type="dxa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+81802,9</w:t>
            </w:r>
          </w:p>
        </w:tc>
      </w:tr>
      <w:tr w:rsidR="006A2C1C" w:rsidTr="00C138DB">
        <w:tc>
          <w:tcPr>
            <w:tcW w:w="3323" w:type="dxa"/>
            <w:vAlign w:val="bottom"/>
          </w:tcPr>
          <w:p w:rsidR="006A2C1C" w:rsidRDefault="009A6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54249,1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59977,4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60362,4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58008,3</w:t>
            </w:r>
          </w:p>
        </w:tc>
        <w:tc>
          <w:tcPr>
            <w:tcW w:w="1701" w:type="dxa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+5728,3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2146,5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2544,5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2544,5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2544,5</w:t>
            </w:r>
          </w:p>
        </w:tc>
        <w:tc>
          <w:tcPr>
            <w:tcW w:w="1701" w:type="dxa"/>
            <w:vAlign w:val="center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+398,0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4164,3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4394,5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4570,3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4753,1</w:t>
            </w:r>
          </w:p>
        </w:tc>
        <w:tc>
          <w:tcPr>
            <w:tcW w:w="1701" w:type="dxa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+230,2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559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bottom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701" w:type="dxa"/>
          </w:tcPr>
          <w:p w:rsidR="006A2C1C" w:rsidRDefault="009A6A63">
            <w:pPr>
              <w:ind w:firstLine="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+900,0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559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20283,0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41359,7</w:t>
            </w:r>
          </w:p>
        </w:tc>
        <w:tc>
          <w:tcPr>
            <w:tcW w:w="1701" w:type="dxa"/>
          </w:tcPr>
          <w:p w:rsidR="006A2C1C" w:rsidRDefault="009A6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ПРОФИЦИТ (+)/</w:t>
            </w:r>
          </w:p>
          <w:p w:rsidR="006A2C1C" w:rsidRDefault="009A6A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(-)</w:t>
            </w:r>
          </w:p>
        </w:tc>
        <w:tc>
          <w:tcPr>
            <w:tcW w:w="1559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559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2C1C" w:rsidTr="00C138DB">
        <w:tc>
          <w:tcPr>
            <w:tcW w:w="3323" w:type="dxa"/>
          </w:tcPr>
          <w:p w:rsidR="006A2C1C" w:rsidRDefault="009A6A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559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A2C1C" w:rsidRDefault="009A6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2C1C" w:rsidRDefault="009A6A63">
      <w:pPr>
        <w:ind w:firstLine="567"/>
        <w:jc w:val="both"/>
      </w:pPr>
      <w:r>
        <w:t>В соответствии с требованиями ст. 184.1 Бюджетного кодекса Российской Федерации решением о бюджете должны быть установлены условно утверждаемые (утвержденные) расходы: в первый год планового периода (2025 год) не менее 2,5 %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(2026 год). В соответствии с указанными требованиями в параметрах районного бюджета предусмотрен объем условно утверждаемых расходов:</w:t>
      </w:r>
    </w:p>
    <w:p w:rsidR="006A2C1C" w:rsidRDefault="009A6A63">
      <w:pPr>
        <w:ind w:firstLine="567"/>
        <w:jc w:val="both"/>
      </w:pPr>
      <w:r>
        <w:t>- 2026 год - 20283,0 тыс. рублей - 2,5 % от общего объема расходов бюджета;</w:t>
      </w:r>
    </w:p>
    <w:p w:rsidR="006A2C1C" w:rsidRDefault="009A6A63">
      <w:pPr>
        <w:ind w:firstLine="567"/>
        <w:jc w:val="both"/>
      </w:pPr>
      <w:r>
        <w:lastRenderedPageBreak/>
        <w:t>- 2027 год -41359,7 рублей - 5,0 % от общего объема расходов бюджета.</w:t>
      </w:r>
    </w:p>
    <w:p w:rsidR="006A2C1C" w:rsidRDefault="009A6A63">
      <w:pPr>
        <w:ind w:firstLine="567"/>
        <w:jc w:val="both"/>
      </w:pPr>
      <w: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6A2C1C" w:rsidRDefault="009A6A63">
      <w:pPr>
        <w:ind w:firstLine="567"/>
        <w:jc w:val="both"/>
      </w:pPr>
      <w:r>
        <w:t xml:space="preserve">В соответствии со ст. 184.1 Бюджетного Кодекса Российской Федерации в ведомственной и функциональной структуре районного бюджета </w:t>
      </w:r>
      <w:r>
        <w:br w:type="textWrapping" w:clear="all"/>
        <w:t xml:space="preserve">на 2025 год и на плановый период 2026-2027 годов выделяются все публичные нормативные обязательства, общий объем которых установлен настоящим проектом решения в сумме 7633,5 тыс. рублей (в 2025 году - 2544,5 тыс. рублей, в плановом периоде 2026 -2027 годов – 2544,5 тыс. рублей ежегодно). </w:t>
      </w:r>
    </w:p>
    <w:p w:rsidR="006A2C1C" w:rsidRDefault="009A6A63">
      <w:pPr>
        <w:ind w:firstLine="567"/>
        <w:jc w:val="both"/>
      </w:pPr>
      <w:r>
        <w:t>Статьей 81.1 Бюджетного кодекса Российской Федерации проектом решения утверждается объем бюджетных ассигнований резервного фонда администрации Партизанского района на 2025 год в сумме 1000,0 тыс. рублей, на плановый период 2026 - 2027 годов в сумме 1000,0 тыс. рублей ежегодно.</w:t>
      </w:r>
    </w:p>
    <w:p w:rsidR="006A2C1C" w:rsidRDefault="009A6A63">
      <w:pPr>
        <w:ind w:firstLine="567"/>
        <w:jc w:val="both"/>
      </w:pPr>
      <w:r>
        <w:t>В соответствии со ст. 179.4 Бюджетного Кодекса Российской Федерации проектом решения  «О районном бюджете на 2025 год и плановый период 2026-2027 годов», утверждается объем бюджетных ассигнований дорожного фонда Партизанского района на 2025 год в сумме 4394,5 тыс. рублей, на 2026 год в сумме 4570,3 тыс. рублей, на 2027 год в сумме 4753,1 тыс. рублей.</w:t>
      </w:r>
    </w:p>
    <w:p w:rsidR="006A2C1C" w:rsidRDefault="009A6A63">
      <w:pPr>
        <w:ind w:firstLine="567"/>
        <w:jc w:val="both"/>
      </w:pPr>
      <w:r>
        <w:t>В соответствии со статьей 107 Бюджетного кодекса Российской Федерации проектом решения устанавливается верхний предел муниципального внутреннего долга, по состоянию на 1 января 2026 года, а также 1 января 2027 и 2028 годов.</w:t>
      </w:r>
    </w:p>
    <w:p w:rsidR="006A2C1C" w:rsidRDefault="009A6A63">
      <w:pPr>
        <w:tabs>
          <w:tab w:val="num" w:pos="1014"/>
        </w:tabs>
        <w:ind w:firstLine="567"/>
        <w:jc w:val="both"/>
      </w:pPr>
      <w:r>
        <w:t xml:space="preserve">Ограничения, установленные статьей 92.1 Бюджетного кодекса Российской Федерации, по предельному размеру дефицита соблюдены. </w:t>
      </w:r>
    </w:p>
    <w:p w:rsidR="006A2C1C" w:rsidRDefault="009A6A63">
      <w:pPr>
        <w:ind w:firstLine="567"/>
        <w:jc w:val="both"/>
      </w:pPr>
      <w:r>
        <w:t>Согласно Проекту решения, на 2025 год объем доходов и расходов районного бюджета увеличится к первоначальной редакции бюджета на 2024 года на 12,4% или на 87531,3 тыс. рублей.</w:t>
      </w:r>
    </w:p>
    <w:p w:rsidR="006A2C1C" w:rsidRDefault="009A6A63">
      <w:pPr>
        <w:ind w:firstLine="567"/>
        <w:jc w:val="both"/>
      </w:pPr>
      <w:r>
        <w:t>В сравнении с ожидаемым исполнением районного бюджета за 2024 год планируемый уровень доходов и расходов ниже:</w:t>
      </w:r>
    </w:p>
    <w:p w:rsidR="006A2C1C" w:rsidRDefault="009A6A63">
      <w:pPr>
        <w:ind w:firstLine="567"/>
        <w:jc w:val="both"/>
      </w:pPr>
      <w:r>
        <w:t>по доходам - на 89589,8 тыс. рублей (на 10,2%);</w:t>
      </w:r>
    </w:p>
    <w:p w:rsidR="006A2C1C" w:rsidRDefault="009A6A63">
      <w:pPr>
        <w:ind w:firstLine="567"/>
        <w:jc w:val="both"/>
      </w:pPr>
      <w:r>
        <w:t>по расходам - на 58184,7 тыс. рублей (на 7,3%).</w:t>
      </w:r>
    </w:p>
    <w:p w:rsidR="006A2C1C" w:rsidRDefault="006A2C1C">
      <w:pPr>
        <w:rPr>
          <w:b/>
          <w:sz w:val="28"/>
          <w:szCs w:val="28"/>
        </w:rPr>
      </w:pPr>
    </w:p>
    <w:p w:rsidR="006A2C1C" w:rsidRDefault="009A6A63">
      <w:pPr>
        <w:jc w:val="center"/>
        <w:rPr>
          <w:b/>
        </w:rPr>
      </w:pPr>
      <w:r>
        <w:rPr>
          <w:b/>
        </w:rPr>
        <w:t>Доходы районного бюджета</w:t>
      </w:r>
    </w:p>
    <w:p w:rsidR="006A2C1C" w:rsidRDefault="009A6A63">
      <w:pPr>
        <w:jc w:val="center"/>
        <w:rPr>
          <w:b/>
        </w:rPr>
      </w:pPr>
      <w:r>
        <w:rPr>
          <w:b/>
        </w:rPr>
        <w:t>на 2025 год и плановый период 2026-2027 годов</w:t>
      </w:r>
    </w:p>
    <w:p w:rsidR="006A2C1C" w:rsidRDefault="009A6A63">
      <w:pPr>
        <w:widowControl w:val="0"/>
        <w:ind w:firstLine="567"/>
        <w:jc w:val="both"/>
      </w:pPr>
      <w:r>
        <w:t xml:space="preserve">Прогноз доходов районного бюджета сформирован на основе ожидаемых итогов социально-экономического развития Партизанского района за 2024 год, прогноза социально-экономического развития  Партизанского района на 2025-2027 годы (далее – Прогноз СЭР), с учетом параметров, предусмотренных решением от 14.12.2023 г. № 43-439-р «О районном бюджете  на 2024 год и плановый период 2025-2026 годов» и оценки исполнения доходов в текущем году (далее - оценка 2024 года). </w:t>
      </w:r>
    </w:p>
    <w:p w:rsidR="006A2C1C" w:rsidRDefault="009A6A63">
      <w:pPr>
        <w:ind w:firstLine="567"/>
        <w:jc w:val="both"/>
      </w:pPr>
      <w:r>
        <w:t>Параметры доходной части районного бюджета на 2025 год и плановый период 2026-2027 годов определены с учетом реализуемой  налоговой и бюджетной политики.</w:t>
      </w:r>
    </w:p>
    <w:p w:rsidR="006A2C1C" w:rsidRDefault="009A6A63">
      <w:pPr>
        <w:ind w:firstLine="567"/>
        <w:jc w:val="both"/>
      </w:pPr>
      <w:r>
        <w:t>Формирование доходов районного бюджета произведено в соответствии с приказами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:rsidR="006A2C1C" w:rsidRDefault="009A6A63">
      <w:pPr>
        <w:ind w:firstLine="567"/>
        <w:jc w:val="both"/>
      </w:pPr>
      <w:r>
        <w:t>В составе материалов к проекту решения представлен реестр источников доходов районного бюджета на 2025 год и плановый период 2026 и 2027 годов, что соответствует требованиям пункта 22 Порядка формирования и ведения реестра источников доходов районного бюджета.</w:t>
      </w:r>
    </w:p>
    <w:p w:rsidR="006A2C1C" w:rsidRDefault="009A6A63">
      <w:pPr>
        <w:ind w:firstLine="567"/>
        <w:jc w:val="both"/>
      </w:pPr>
      <w:r>
        <w:lastRenderedPageBreak/>
        <w:t xml:space="preserve"> Расчеты и обоснования сумм доходов районного бюджета произведены на основании прогнозов поступления доходов, аналитических материалов по исполнению бюджета, предоставленных: </w:t>
      </w:r>
    </w:p>
    <w:p w:rsidR="006A2C1C" w:rsidRDefault="009A6A63">
      <w:pPr>
        <w:ind w:firstLine="567"/>
        <w:jc w:val="both"/>
      </w:pPr>
      <w:r>
        <w:rPr>
          <w:b/>
        </w:rPr>
        <w:t xml:space="preserve"> - </w:t>
      </w:r>
      <w:r>
        <w:t>главными администраторами доходов районного бюджета в соответствии с постановлением Главы района от 12.07.2011 №501-п «Об утверждении Положения о порядке составления проекта решения Партизанского районного Совета депутатов о районном бюджете на очередной финансовый год и плановый период».</w:t>
      </w:r>
    </w:p>
    <w:p w:rsidR="006A2C1C" w:rsidRDefault="009A6A63">
      <w:pPr>
        <w:ind w:firstLine="567"/>
        <w:jc w:val="both"/>
      </w:pPr>
      <w:r>
        <w:t xml:space="preserve">Объем </w:t>
      </w:r>
      <w:r>
        <w:rPr>
          <w:bCs/>
        </w:rPr>
        <w:t xml:space="preserve">доходов районного бюджета в 2025 году </w:t>
      </w:r>
      <w:r>
        <w:t xml:space="preserve">прогнозируется в сумме </w:t>
      </w:r>
      <w:r>
        <w:rPr>
          <w:bCs/>
        </w:rPr>
        <w:t xml:space="preserve">794376,8 тыс. рублей </w:t>
      </w:r>
      <w:r>
        <w:t xml:space="preserve">(на 89589,8 тыс. рублей, или на 10,1% меньше оценки 2024 года), </w:t>
      </w:r>
      <w:r>
        <w:rPr>
          <w:bCs/>
        </w:rPr>
        <w:t xml:space="preserve">в 2026 году - 811321,1 тыс. рублей </w:t>
      </w:r>
      <w:r>
        <w:t xml:space="preserve">(на 16944,3 тыс. рублей, или на 2,1% больше, чем в 2025 году), </w:t>
      </w:r>
      <w:r>
        <w:rPr>
          <w:bCs/>
        </w:rPr>
        <w:t xml:space="preserve">в 2027 году – 827194,5 тыс. рублей </w:t>
      </w:r>
      <w:r>
        <w:t>(на 15873,4 тыс. рублей, или на 2,0% больше, чем в 2026 году).</w:t>
      </w:r>
    </w:p>
    <w:p w:rsidR="006A2C1C" w:rsidRDefault="009A6A63">
      <w:pPr>
        <w:ind w:firstLine="567"/>
        <w:jc w:val="both"/>
      </w:pPr>
      <w:r>
        <w:t xml:space="preserve">Объем поступлений </w:t>
      </w:r>
      <w:r>
        <w:rPr>
          <w:bCs/>
        </w:rPr>
        <w:t xml:space="preserve">налоговых доходов </w:t>
      </w:r>
      <w:r>
        <w:t xml:space="preserve">районного бюджета </w:t>
      </w:r>
      <w:r>
        <w:rPr>
          <w:bCs/>
        </w:rPr>
        <w:t xml:space="preserve">в 2025 году </w:t>
      </w:r>
      <w:r>
        <w:t xml:space="preserve">прогнозируется в сумме </w:t>
      </w:r>
      <w:r>
        <w:rPr>
          <w:bCs/>
        </w:rPr>
        <w:t xml:space="preserve">95604,3 тыс. рублей </w:t>
      </w:r>
      <w:r>
        <w:t xml:space="preserve">(на 7280,6 тыс. рублей, или на 8,24% больше 2024 года(в первоначальной редакции)), </w:t>
      </w:r>
      <w:r>
        <w:rPr>
          <w:bCs/>
        </w:rPr>
        <w:t>в 2026 году - 100069,3 тыс.рублей, в 2027 году - 104413,5 тыс. рублей</w:t>
      </w:r>
      <w:r>
        <w:t>.</w:t>
      </w:r>
    </w:p>
    <w:p w:rsidR="006A2C1C" w:rsidRDefault="009A6A63">
      <w:pPr>
        <w:pStyle w:val="Default"/>
        <w:ind w:firstLine="567"/>
        <w:jc w:val="both"/>
      </w:pPr>
      <w:r>
        <w:t xml:space="preserve">Объем поступлений </w:t>
      </w:r>
      <w:r>
        <w:rPr>
          <w:bCs/>
        </w:rPr>
        <w:t xml:space="preserve">неналоговых доходов </w:t>
      </w:r>
      <w:r>
        <w:t xml:space="preserve">районного бюджета </w:t>
      </w:r>
      <w:r>
        <w:rPr>
          <w:bCs/>
        </w:rPr>
        <w:t xml:space="preserve">в 2025 году </w:t>
      </w:r>
      <w:r>
        <w:t xml:space="preserve">прогнозируется в сумме </w:t>
      </w:r>
      <w:r>
        <w:rPr>
          <w:bCs/>
        </w:rPr>
        <w:t xml:space="preserve">25300,2 тыс. рублей </w:t>
      </w:r>
      <w:r>
        <w:t xml:space="preserve">(на 15430,5 рублей, или на 156,34% больше 2024 года (в первоначальной редакции)), </w:t>
      </w:r>
      <w:r>
        <w:rPr>
          <w:bCs/>
        </w:rPr>
        <w:t>в 2026 году - 25614,8 рублей, в 2027 году - 25942,1 тыс. рублей</w:t>
      </w:r>
      <w:r>
        <w:t xml:space="preserve">. </w:t>
      </w:r>
    </w:p>
    <w:p w:rsidR="006A2C1C" w:rsidRDefault="006A2C1C">
      <w:pPr>
        <w:ind w:right="-1"/>
        <w:jc w:val="center"/>
      </w:pPr>
    </w:p>
    <w:p w:rsidR="006A2C1C" w:rsidRDefault="009A6A63">
      <w:pPr>
        <w:ind w:right="-1"/>
        <w:jc w:val="center"/>
      </w:pPr>
      <w:r>
        <w:t>Структура  доходной  части  районного  бюджета  на 2025 год и на плановый период 2026-2027 годов представлена в таблице:</w:t>
      </w:r>
    </w:p>
    <w:p w:rsidR="006A2C1C" w:rsidRDefault="009A6A63">
      <w:pPr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>(тыс. рублей)</w:t>
      </w:r>
    </w:p>
    <w:tbl>
      <w:tblPr>
        <w:tblW w:w="497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84"/>
        <w:gridCol w:w="1206"/>
        <w:gridCol w:w="1205"/>
        <w:gridCol w:w="1205"/>
        <w:gridCol w:w="1074"/>
        <w:gridCol w:w="1072"/>
        <w:gridCol w:w="1476"/>
      </w:tblGrid>
      <w:tr w:rsidR="006A2C1C">
        <w:trPr>
          <w:trHeight w:val="87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(первоначальная редакция)</w:t>
            </w:r>
          </w:p>
        </w:tc>
        <w:tc>
          <w:tcPr>
            <w:tcW w:w="1830" w:type="pct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о бюджете</w:t>
            </w:r>
          </w:p>
        </w:tc>
        <w:tc>
          <w:tcPr>
            <w:tcW w:w="1338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Прирост/снижение </w:t>
            </w: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к 2024 </w:t>
            </w:r>
          </w:p>
        </w:tc>
      </w:tr>
      <w:tr w:rsidR="006A2C1C">
        <w:trPr>
          <w:trHeight w:val="289"/>
        </w:trPr>
        <w:tc>
          <w:tcPr>
            <w:tcW w:w="1199" w:type="pct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" w:type="pct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33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564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563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</w:tr>
      <w:tr w:rsidR="006A2C1C">
        <w:trPr>
          <w:trHeight w:val="353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6=3-2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7=3/2*100-100</w:t>
            </w:r>
          </w:p>
          <w:p w:rsidR="006A2C1C" w:rsidRDefault="006A2C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98193,4</w:t>
            </w:r>
          </w:p>
        </w:tc>
        <w:tc>
          <w:tcPr>
            <w:tcW w:w="633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120904,5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125684,1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130355,6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22711,10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23,13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88323,7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95604,3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100069,3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104413,5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7280,60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8,24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 организаций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621,6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-11900,00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-95,20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 доходы физических лиц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57461,0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63220,8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67820,9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71440,5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5759,80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10,02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12491,4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24946,5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25402,1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12828,60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102,70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4164,3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4394,5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4570,3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4753,1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230,20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5,53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362,00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21,21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9869,7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25300,2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25614,8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25942,1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15430,50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156,34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от использования имущества находящегося в муниципальной собственности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6265,7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5570,2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5793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-909,70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-14,52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16000,00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1600,00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оказания платных услуг (работ) и </w:t>
            </w:r>
            <w:r>
              <w:rPr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1449,0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1910,2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1986,6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2066,1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461,20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31,83</w:t>
            </w:r>
          </w:p>
        </w:tc>
      </w:tr>
      <w:tr w:rsidR="006A2C1C">
        <w:trPr>
          <w:trHeight w:val="65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3,33</w:t>
            </w:r>
          </w:p>
        </w:tc>
      </w:tr>
      <w:tr w:rsidR="006A2C1C">
        <w:trPr>
          <w:trHeight w:val="320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-135,00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-18,37</w:t>
            </w:r>
          </w:p>
        </w:tc>
      </w:tr>
      <w:tr w:rsidR="006A2C1C">
        <w:trPr>
          <w:trHeight w:val="64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608652,1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673472,3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685637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696838,9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64820,20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10,65</w:t>
            </w:r>
          </w:p>
        </w:tc>
      </w:tr>
      <w:tr w:rsidR="006A2C1C">
        <w:trPr>
          <w:trHeight w:val="64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315722,3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356938,9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320699,6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320699,6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41216,60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13,05</w:t>
            </w:r>
          </w:p>
        </w:tc>
      </w:tr>
      <w:tr w:rsidR="006A2C1C">
        <w:trPr>
          <w:trHeight w:val="64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8221,6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11391,1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11358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8537,4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3169,50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38,55</w:t>
            </w:r>
          </w:p>
        </w:tc>
      </w:tr>
      <w:tr w:rsidR="006A2C1C">
        <w:trPr>
          <w:trHeight w:val="331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284488,8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304834,9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301199,8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298634,3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20346,10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7,15</w:t>
            </w:r>
          </w:p>
        </w:tc>
      </w:tr>
      <w:tr w:rsidR="006A2C1C">
        <w:trPr>
          <w:trHeight w:val="64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51995,3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68583,3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A2C1C">
        <w:trPr>
          <w:trHeight w:val="64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219,4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307,4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384,3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384,3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40,11</w:t>
            </w:r>
          </w:p>
        </w:tc>
      </w:tr>
      <w:tr w:rsidR="006A2C1C">
        <w:trPr>
          <w:trHeight w:val="64"/>
        </w:trPr>
        <w:tc>
          <w:tcPr>
            <w:tcW w:w="119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3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706845,5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794376,8</w:t>
            </w: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811321,1</w:t>
            </w:r>
          </w:p>
        </w:tc>
        <w:tc>
          <w:tcPr>
            <w:tcW w:w="56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827194,5</w:t>
            </w:r>
          </w:p>
        </w:tc>
        <w:tc>
          <w:tcPr>
            <w:tcW w:w="56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87531,30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2C1C" w:rsidRDefault="009A6A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12,38</w:t>
            </w:r>
          </w:p>
        </w:tc>
      </w:tr>
    </w:tbl>
    <w:p w:rsidR="006A2C1C" w:rsidRDefault="009A6A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 Удельный вес налоговых поступлений в общих доходах районного бюджета в 2025 году составит 12,0%, в 2026 году - 12,3%, в 2027 году - 12,6%. </w:t>
      </w:r>
    </w:p>
    <w:p w:rsidR="006A2C1C" w:rsidRDefault="009A6A63">
      <w:pPr>
        <w:ind w:firstLine="567"/>
        <w:jc w:val="both"/>
      </w:pPr>
      <w:r>
        <w:t xml:space="preserve">Основными источниками формирования налоговых доходов по-прежнему остаются налог на доходы физических лиц и налог на  совокупный доход. </w:t>
      </w:r>
    </w:p>
    <w:p w:rsidR="006A2C1C" w:rsidRDefault="009A6A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  В среднесрочной перспективе структура налоговых доходов существенно не меняется. По сравнению с 2024 годом планируется ежегодный рост доли налогов на доходы физических лиц, а также налога, взимаемого в связи с применением упрощенной системы налогообложения, при сокращении доли налога на прибыль организаций. </w:t>
      </w:r>
    </w:p>
    <w:p w:rsidR="006A2C1C" w:rsidRDefault="009A6A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 Удельный вес налоговых и неналоговых поступлений в общих доходах районного бюджета в 2025 году составит 15,2%, в 2026 году - 15,5%, в 2027 году - 15,8%. </w:t>
      </w:r>
    </w:p>
    <w:p w:rsidR="006A2C1C" w:rsidRDefault="006A2C1C">
      <w:pPr>
        <w:ind w:firstLine="210"/>
        <w:jc w:val="center"/>
        <w:rPr>
          <w:b/>
          <w:sz w:val="28"/>
        </w:rPr>
      </w:pPr>
    </w:p>
    <w:p w:rsidR="006A2C1C" w:rsidRDefault="009A6A63">
      <w:pPr>
        <w:ind w:firstLine="210"/>
        <w:jc w:val="center"/>
        <w:rPr>
          <w:b/>
        </w:rPr>
      </w:pPr>
      <w:bookmarkStart w:id="1" w:name="_Toc369292228"/>
      <w:bookmarkStart w:id="2" w:name="_Toc400644271"/>
      <w:bookmarkStart w:id="3" w:name="_Toc400735295"/>
      <w:r>
        <w:rPr>
          <w:b/>
        </w:rPr>
        <w:t>Налог на прибыль организаций</w:t>
      </w:r>
    </w:p>
    <w:p w:rsidR="006A2C1C" w:rsidRDefault="009A6A63">
      <w:pPr>
        <w:ind w:firstLine="567"/>
        <w:jc w:val="both"/>
      </w:pPr>
      <w:r>
        <w:t>В основу расчета налога на прибыль организаций приняты следующие исходные данные:</w:t>
      </w:r>
    </w:p>
    <w:p w:rsidR="006A2C1C" w:rsidRDefault="009A6A63">
      <w:pPr>
        <w:tabs>
          <w:tab w:val="num" w:pos="1386"/>
        </w:tabs>
        <w:ind w:firstLine="567"/>
        <w:jc w:val="both"/>
      </w:pPr>
      <w:r>
        <w:t>- отчет Управления Федеральной налоговой службы по Красноярскому краю (далее – УФНС по краю) по форме № 5-ПМ «Отчет о налоговой базе и структуре начислений по налогу на прибыль организаций, зачисляемому в бюджет субъекта Российской Федерации» по итогам  2023 года;</w:t>
      </w:r>
    </w:p>
    <w:p w:rsidR="006A2C1C" w:rsidRDefault="009A6A63">
      <w:pPr>
        <w:tabs>
          <w:tab w:val="num" w:pos="1386"/>
        </w:tabs>
        <w:ind w:firstLine="567"/>
        <w:jc w:val="both"/>
      </w:pPr>
      <w:r>
        <w:t xml:space="preserve">- показатели  УФНС по краю по видам экономической деятельности за 2023 год и 8 месяцев 2024 года, предоставленные в соответствии с приказом Минфина России № 65н от 30.06.2008 «Об 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</w:t>
      </w:r>
      <w:r>
        <w:lastRenderedPageBreak/>
        <w:t>постановлением Правительства Российской Федерации от 12 августа 2004 года № 410» (далее – приказ № 65н);</w:t>
      </w:r>
    </w:p>
    <w:p w:rsidR="006A2C1C" w:rsidRDefault="009A6A63">
      <w:pPr>
        <w:tabs>
          <w:tab w:val="num" w:pos="1386"/>
        </w:tabs>
        <w:ind w:firstLine="567"/>
        <w:jc w:val="both"/>
      </w:pPr>
      <w:r>
        <w:t>- показатели Прогноза СЭР</w:t>
      </w:r>
    </w:p>
    <w:p w:rsidR="006A2C1C" w:rsidRDefault="009A6A63">
      <w:pPr>
        <w:ind w:firstLine="567"/>
        <w:jc w:val="both"/>
      </w:pPr>
      <w:r>
        <w:t xml:space="preserve">Поступление налога на прибыль организаций на 2025 год прогнозируется в сумме  600,0 тыс. рублей. </w:t>
      </w:r>
    </w:p>
    <w:p w:rsidR="006A2C1C" w:rsidRDefault="009A6A63">
      <w:pPr>
        <w:ind w:firstLine="567"/>
        <w:jc w:val="both"/>
      </w:pPr>
      <w:r>
        <w:t>Поступление налога на прибыль организаций на плановый период 2026 - 2027 годы прогнозируется в сумме 621,6 тыс. рублей и 665,8 тыс. рублей соответственно.</w:t>
      </w:r>
    </w:p>
    <w:p w:rsidR="006A2C1C" w:rsidRDefault="006A2C1C">
      <w:pPr>
        <w:ind w:firstLine="567"/>
        <w:jc w:val="both"/>
      </w:pPr>
    </w:p>
    <w:p w:rsidR="006A2C1C" w:rsidRDefault="009A6A63">
      <w:pPr>
        <w:jc w:val="center"/>
        <w:outlineLvl w:val="2"/>
        <w:rPr>
          <w:b/>
        </w:rPr>
      </w:pPr>
      <w:r>
        <w:rPr>
          <w:b/>
        </w:rPr>
        <w:t>Налог на доходы физических лиц</w:t>
      </w:r>
      <w:bookmarkEnd w:id="1"/>
      <w:bookmarkEnd w:id="2"/>
      <w:bookmarkEnd w:id="3"/>
    </w:p>
    <w:p w:rsidR="006A2C1C" w:rsidRDefault="009A6A63">
      <w:pPr>
        <w:ind w:firstLine="567"/>
        <w:jc w:val="both"/>
      </w:pPr>
      <w:r>
        <w:t>Сумма налога на доходы физических лиц определена исходя из оценки ожидаемого исполнения 2024 года с учетом:</w:t>
      </w:r>
    </w:p>
    <w:p w:rsidR="006A2C1C" w:rsidRDefault="009A6A63">
      <w:pPr>
        <w:widowControl w:val="0"/>
        <w:tabs>
          <w:tab w:val="left" w:pos="1422"/>
        </w:tabs>
        <w:ind w:firstLine="567"/>
        <w:jc w:val="both"/>
        <w:rPr>
          <w:lang w:bidi="ru-RU"/>
        </w:rPr>
      </w:pPr>
      <w:r>
        <w:rPr>
          <w:color w:val="000000"/>
          <w:lang w:bidi="ru-RU"/>
        </w:rPr>
        <w:t>- отчетов Управления федеральной налоговой службы по Красноярскому краю (далее - УФНС по краю) по формам № 5-ДДК «Отчет о декларировании доходов физическими лицами за 2022 год» и № 5-НДФЛ «Отчет о налоговой базе и структуре начислений по налогу на доходы физических лиц за 2023 год по сведениям, представленным налоговыми агентами»;</w:t>
      </w:r>
    </w:p>
    <w:p w:rsidR="006A2C1C" w:rsidRDefault="009A6A63">
      <w:pPr>
        <w:widowControl w:val="0"/>
        <w:tabs>
          <w:tab w:val="left" w:pos="1422"/>
        </w:tabs>
        <w:ind w:firstLine="567"/>
        <w:jc w:val="both"/>
        <w:rPr>
          <w:lang w:bidi="ru-RU"/>
        </w:rPr>
      </w:pPr>
      <w:bookmarkStart w:id="4" w:name="bookmark188"/>
      <w:bookmarkEnd w:id="4"/>
      <w:r>
        <w:rPr>
          <w:color w:val="000000"/>
          <w:lang w:bidi="ru-RU"/>
        </w:rPr>
        <w:t>- показателей УФНС по краю, предоставленных в соответствии с приказом № 65н;</w:t>
      </w:r>
    </w:p>
    <w:p w:rsidR="006A2C1C" w:rsidRDefault="009A6A63">
      <w:pPr>
        <w:widowControl w:val="0"/>
        <w:tabs>
          <w:tab w:val="left" w:pos="1422"/>
        </w:tabs>
        <w:ind w:firstLine="567"/>
        <w:jc w:val="both"/>
        <w:rPr>
          <w:lang w:bidi="ru-RU"/>
        </w:rPr>
      </w:pPr>
      <w:bookmarkStart w:id="5" w:name="bookmark189"/>
      <w:bookmarkEnd w:id="5"/>
      <w:r>
        <w:rPr>
          <w:color w:val="000000"/>
          <w:lang w:bidi="ru-RU"/>
        </w:rPr>
        <w:t>-показателей Прогноза СЭР;</w:t>
      </w:r>
    </w:p>
    <w:p w:rsidR="006A2C1C" w:rsidRDefault="009A6A63">
      <w:pPr>
        <w:pStyle w:val="Default"/>
        <w:ind w:firstLine="567"/>
        <w:jc w:val="both"/>
      </w:pPr>
      <w:r>
        <w:t xml:space="preserve">   Поступления </w:t>
      </w:r>
      <w:r>
        <w:rPr>
          <w:iCs/>
        </w:rPr>
        <w:t xml:space="preserve">налога на доходы физических лиц </w:t>
      </w:r>
      <w:r>
        <w:t>в 2025 году прогнозируются в сумме 63220,8 тыс. рублей (14,4% по отношению к 2024 году), в 2026 году - 67820,9 тыс. рублей, что на 4600,1 тыс. рублей выше суммы, прогнозируемой на 2025 год, в 2027 году – 71440,5 тыс. рублей с приростом к прогнозируемой на 2026 год сумме на 3619,6 тыс.рублей.</w:t>
      </w:r>
    </w:p>
    <w:p w:rsidR="006A2C1C" w:rsidRDefault="006A2C1C">
      <w:pPr>
        <w:ind w:firstLine="567"/>
        <w:jc w:val="both"/>
        <w:outlineLvl w:val="2"/>
      </w:pPr>
    </w:p>
    <w:p w:rsidR="006A2C1C" w:rsidRDefault="009A6A63">
      <w:pPr>
        <w:spacing w:before="120"/>
        <w:jc w:val="center"/>
        <w:rPr>
          <w:b/>
          <w:spacing w:val="4"/>
        </w:rPr>
      </w:pPr>
      <w:r>
        <w:rPr>
          <w:b/>
          <w:spacing w:val="4"/>
        </w:rPr>
        <w:t>Акцизы по подакцизным товарам (продукции), производимым на территории Российской федерации</w:t>
      </w:r>
    </w:p>
    <w:p w:rsidR="006A2C1C" w:rsidRDefault="009A6A63">
      <w:pPr>
        <w:widowControl w:val="0"/>
        <w:ind w:firstLine="567"/>
        <w:jc w:val="both"/>
        <w:rPr>
          <w:lang w:bidi="ru-RU"/>
        </w:rPr>
      </w:pPr>
      <w:r>
        <w:rPr>
          <w:lang w:bidi="ru-RU"/>
        </w:rPr>
        <w:t xml:space="preserve">Расчет суммы </w:t>
      </w:r>
      <w:r>
        <w:rPr>
          <w:iCs/>
          <w:lang w:bidi="ru-RU"/>
        </w:rPr>
        <w:t>доходов от акцизов на нефтепродукты,</w:t>
      </w:r>
      <w:r>
        <w:rPr>
          <w:lang w:bidi="ru-RU"/>
        </w:rPr>
        <w:t xml:space="preserve"> произведен в соответствии с действующим налоговым и бюджетным законодательством с учетом изменений, вводимых и планируемых к введению в действие в очередном финансовом году и плановом периоде:</w:t>
      </w:r>
      <w:bookmarkStart w:id="6" w:name="bookmark199"/>
      <w:bookmarkEnd w:id="6"/>
    </w:p>
    <w:p w:rsidR="006A2C1C" w:rsidRDefault="009A6A63">
      <w:pPr>
        <w:widowControl w:val="0"/>
        <w:ind w:firstLine="567"/>
        <w:jc w:val="both"/>
        <w:rPr>
          <w:lang w:bidi="ru-RU"/>
        </w:rPr>
      </w:pPr>
      <w:r>
        <w:rPr>
          <w:lang w:bidi="ru-RU"/>
        </w:rPr>
        <w:t>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скорректировавшим ставки акцизов на подакцизные товары с 1 января 2025 года, а также установившим налоговые ставки на 2027 год;</w:t>
      </w:r>
    </w:p>
    <w:p w:rsidR="006A2C1C" w:rsidRDefault="009A6A63">
      <w:pPr>
        <w:widowControl w:val="0"/>
        <w:ind w:firstLine="567"/>
        <w:jc w:val="both"/>
        <w:rPr>
          <w:lang w:bidi="ru-RU"/>
        </w:rPr>
      </w:pPr>
      <w:bookmarkStart w:id="7" w:name="bookmark200"/>
      <w:bookmarkEnd w:id="7"/>
      <w:r>
        <w:rPr>
          <w:lang w:bidi="ru-RU"/>
        </w:rPr>
        <w:t xml:space="preserve">  проектом Федерального закона № 727330-8 «О внесении изменений в часть вторую  Налогового кодекса Российской Федерации и отдельные законодательные акты Российской Федерации», предусматривающим изменение с 1 января 2025 года ставок акцизов на нефтепродукты и алкогольную продукцию;</w:t>
      </w:r>
      <w:bookmarkStart w:id="8" w:name="bookmark201"/>
      <w:bookmarkEnd w:id="8"/>
    </w:p>
    <w:p w:rsidR="006A2C1C" w:rsidRDefault="009A6A63">
      <w:pPr>
        <w:widowControl w:val="0"/>
        <w:jc w:val="both"/>
        <w:rPr>
          <w:lang w:bidi="ru-RU"/>
        </w:rPr>
      </w:pPr>
      <w:r>
        <w:rPr>
          <w:lang w:bidi="ru-RU"/>
        </w:rPr>
        <w:t xml:space="preserve">        проектом Федерального закона № 727327-8 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Федерации», устанавливающим с 1 февраля 2025 года норматив зачисления акцизов на нефтепродукты в бюджеты субъектов Российской Федерации в размере 68,5%;</w:t>
      </w:r>
    </w:p>
    <w:p w:rsidR="006A2C1C" w:rsidRDefault="009A6A63">
      <w:pPr>
        <w:widowControl w:val="0"/>
        <w:jc w:val="both"/>
        <w:rPr>
          <w:lang w:bidi="ru-RU"/>
        </w:rPr>
      </w:pPr>
      <w:bookmarkStart w:id="9" w:name="bookmark202"/>
      <w:bookmarkEnd w:id="9"/>
      <w:r>
        <w:rPr>
          <w:lang w:bidi="ru-RU"/>
        </w:rPr>
        <w:t xml:space="preserve">        проектом закона о федеральном бюджете, определяющим порядок и нормативы (доли) распределения в бюджеты субъектов Российской Федерации доходов от отдельных видов акцизов;</w:t>
      </w:r>
    </w:p>
    <w:p w:rsidR="006A2C1C" w:rsidRDefault="009A6A63">
      <w:pPr>
        <w:widowControl w:val="0"/>
        <w:jc w:val="both"/>
        <w:rPr>
          <w:lang w:bidi="ru-RU"/>
        </w:rPr>
      </w:pPr>
      <w:bookmarkStart w:id="10" w:name="bookmark203"/>
      <w:bookmarkEnd w:id="10"/>
      <w:r>
        <w:rPr>
          <w:lang w:bidi="ru-RU"/>
        </w:rPr>
        <w:t xml:space="preserve">        информации главного администратора доходов бюджетов - УФНС по краю.</w:t>
      </w:r>
    </w:p>
    <w:p w:rsidR="006A2C1C" w:rsidRDefault="009A6A63">
      <w:pPr>
        <w:widowControl w:val="0"/>
        <w:jc w:val="both"/>
        <w:rPr>
          <w:lang w:bidi="ru-RU"/>
        </w:rPr>
      </w:pPr>
      <w:r>
        <w:rPr>
          <w:lang w:bidi="ru-RU"/>
        </w:rPr>
        <w:t xml:space="preserve">        Исходя из сумм, учтенных в проекте закона о краевом бюджете, доходы бюджетов </w:t>
      </w:r>
      <w:r>
        <w:rPr>
          <w:lang w:bidi="ru-RU"/>
        </w:rPr>
        <w:lastRenderedPageBreak/>
        <w:t xml:space="preserve">муниципальных образований Красноярского края от уплаты акцизов на нефтепродукты, производимых на территории Российской Федерации, составят по подстатьям бюджетной классификации: </w:t>
      </w:r>
    </w:p>
    <w:p w:rsidR="006A2C1C" w:rsidRDefault="009A6A63">
      <w:pPr>
        <w:widowControl w:val="0"/>
        <w:ind w:firstLine="700"/>
        <w:jc w:val="both"/>
      </w:pPr>
      <w:r>
        <w:t xml:space="preserve">                                                                                                    </w:t>
      </w:r>
      <w:r w:rsidR="00C138DB">
        <w:t xml:space="preserve">                       </w:t>
      </w:r>
      <w:r>
        <w:t>тыс.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532"/>
        <w:gridCol w:w="1116"/>
        <w:gridCol w:w="1224"/>
        <w:gridCol w:w="1501"/>
      </w:tblGrid>
      <w:tr w:rsidR="006A2C1C">
        <w:tc>
          <w:tcPr>
            <w:tcW w:w="2516" w:type="dxa"/>
            <w:tcBorders>
              <w:bottom w:val="single" w:sz="4" w:space="0" w:color="000000"/>
            </w:tcBorders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532" w:type="dxa"/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24" w:type="dxa"/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01" w:type="dxa"/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6A2C1C">
        <w:trPr>
          <w:trHeight w:val="873"/>
        </w:trPr>
        <w:tc>
          <w:tcPr>
            <w:tcW w:w="2516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182 1 03 02231 01 0000 110</w:t>
            </w:r>
          </w:p>
          <w:p w:rsidR="006A2C1C" w:rsidRDefault="006A2C1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32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2341,3</w:t>
            </w:r>
          </w:p>
        </w:tc>
        <w:tc>
          <w:tcPr>
            <w:tcW w:w="1224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2434,9</w:t>
            </w:r>
          </w:p>
        </w:tc>
        <w:tc>
          <w:tcPr>
            <w:tcW w:w="1501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2532,3</w:t>
            </w:r>
          </w:p>
        </w:tc>
      </w:tr>
      <w:tr w:rsidR="006A2C1C">
        <w:trPr>
          <w:trHeight w:val="698"/>
        </w:trPr>
        <w:tc>
          <w:tcPr>
            <w:tcW w:w="2516" w:type="dxa"/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182 1 03 02241 01 0000 110</w:t>
            </w:r>
          </w:p>
        </w:tc>
        <w:tc>
          <w:tcPr>
            <w:tcW w:w="3532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24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501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A2C1C">
        <w:trPr>
          <w:trHeight w:val="2820"/>
        </w:trPr>
        <w:tc>
          <w:tcPr>
            <w:tcW w:w="2516" w:type="dxa"/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182 1 03 02251 01 0000 110</w:t>
            </w:r>
          </w:p>
        </w:tc>
        <w:tc>
          <w:tcPr>
            <w:tcW w:w="3532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2405,5</w:t>
            </w:r>
          </w:p>
        </w:tc>
        <w:tc>
          <w:tcPr>
            <w:tcW w:w="1224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2501,7</w:t>
            </w:r>
          </w:p>
        </w:tc>
        <w:tc>
          <w:tcPr>
            <w:tcW w:w="1501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2601,8</w:t>
            </w:r>
          </w:p>
        </w:tc>
      </w:tr>
      <w:tr w:rsidR="006A2C1C">
        <w:tc>
          <w:tcPr>
            <w:tcW w:w="2516" w:type="dxa"/>
          </w:tcPr>
          <w:p w:rsidR="006A2C1C" w:rsidRDefault="009A6A6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182 103 02261 01 0000 110</w:t>
            </w:r>
          </w:p>
        </w:tc>
        <w:tc>
          <w:tcPr>
            <w:tcW w:w="3532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-364,3</w:t>
            </w:r>
          </w:p>
        </w:tc>
        <w:tc>
          <w:tcPr>
            <w:tcW w:w="1224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-378,8</w:t>
            </w:r>
          </w:p>
        </w:tc>
        <w:tc>
          <w:tcPr>
            <w:tcW w:w="1501" w:type="dxa"/>
          </w:tcPr>
          <w:p w:rsidR="006A2C1C" w:rsidRDefault="009A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-394,0</w:t>
            </w:r>
          </w:p>
        </w:tc>
      </w:tr>
      <w:tr w:rsidR="006A2C1C">
        <w:tc>
          <w:tcPr>
            <w:tcW w:w="2516" w:type="dxa"/>
          </w:tcPr>
          <w:p w:rsidR="006A2C1C" w:rsidRDefault="009A6A63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32" w:type="dxa"/>
          </w:tcPr>
          <w:p w:rsidR="006A2C1C" w:rsidRDefault="006A2C1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A2C1C" w:rsidRDefault="009A6A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4394,5</w:t>
            </w:r>
          </w:p>
        </w:tc>
        <w:tc>
          <w:tcPr>
            <w:tcW w:w="1224" w:type="dxa"/>
          </w:tcPr>
          <w:p w:rsidR="006A2C1C" w:rsidRDefault="009A6A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4570,3</w:t>
            </w:r>
          </w:p>
        </w:tc>
        <w:tc>
          <w:tcPr>
            <w:tcW w:w="1501" w:type="dxa"/>
          </w:tcPr>
          <w:p w:rsidR="006A2C1C" w:rsidRDefault="009A6A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4753,1</w:t>
            </w:r>
          </w:p>
        </w:tc>
      </w:tr>
    </w:tbl>
    <w:p w:rsidR="006A2C1C" w:rsidRDefault="009A6A63" w:rsidP="00F27CAC">
      <w:pPr>
        <w:widowControl w:val="0"/>
        <w:spacing w:before="120"/>
        <w:ind w:firstLine="567"/>
        <w:jc w:val="both"/>
      </w:pPr>
      <w:r>
        <w:t xml:space="preserve">Расчет прогноза 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статьей 14 проекта закона края </w:t>
      </w:r>
      <w:r>
        <w:rPr>
          <w:spacing w:val="4"/>
        </w:rPr>
        <w:t>«О краевом бюджете на 2025 год и плановый период 2026-2027 годов»</w:t>
      </w:r>
      <w:r>
        <w:t>.</w:t>
      </w:r>
    </w:p>
    <w:p w:rsidR="006A2C1C" w:rsidRDefault="009A6A63">
      <w:pPr>
        <w:ind w:firstLine="567"/>
        <w:jc w:val="center"/>
        <w:outlineLvl w:val="5"/>
        <w:rPr>
          <w:b/>
          <w:bCs/>
        </w:rPr>
      </w:pPr>
      <w:r>
        <w:rPr>
          <w:b/>
          <w:bCs/>
        </w:rPr>
        <w:lastRenderedPageBreak/>
        <w:t>Налоги на совокупный доход</w:t>
      </w:r>
      <w:bookmarkStart w:id="11" w:name="_Toc21682519"/>
      <w:bookmarkStart w:id="12" w:name="_Toc21863299"/>
    </w:p>
    <w:p w:rsidR="006A2C1C" w:rsidRDefault="006A2C1C">
      <w:pPr>
        <w:ind w:firstLine="567"/>
        <w:jc w:val="center"/>
        <w:outlineLvl w:val="5"/>
        <w:rPr>
          <w:b/>
          <w:bCs/>
        </w:rPr>
      </w:pPr>
    </w:p>
    <w:p w:rsidR="006A2C1C" w:rsidRDefault="009A6A63">
      <w:pPr>
        <w:ind w:firstLine="567"/>
        <w:jc w:val="center"/>
        <w:outlineLvl w:val="2"/>
        <w:rPr>
          <w:b/>
          <w:spacing w:val="4"/>
        </w:rPr>
      </w:pPr>
      <w:r>
        <w:rPr>
          <w:b/>
          <w:spacing w:val="4"/>
        </w:rPr>
        <w:t>Налог, взимаемый в связи с применением упрощенной системы налогообложения</w:t>
      </w:r>
      <w:bookmarkEnd w:id="11"/>
      <w:bookmarkEnd w:id="12"/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Расчет суммы налога, взимаемого в связи с применением упрощенной системы налогообложения, произведен в соответствии с действующим налоговым законодательством с учетом планируемых к принятию до конца текущего года изменений краевого законодательства, предусмотренных: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устанавливающим: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изменение критериев для перехода на упрощенную систему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 xml:space="preserve">налогообложения и применения данного режима налогообложения; 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отмену с 1 января 2025 года повышенных ставок в размере 8% по объекту налогообложения «доходы» и 20% по объекту налогообложения «доходы за минусом расходов»;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проектом закона Красноярского края «О внесении изменения в статью 2 Закона края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налогообложения и (или) патентную систему налогообложения», предусматривающим продление «налоговых каникул» для вновь зарегистрированных индивидуальных предпринимателей, осуществляющих предпринимательскую деятельность в производственной, социальной и научной сферах и в сфере бытовых услуг населению, до 1 января 2027 года.</w:t>
      </w:r>
    </w:p>
    <w:p w:rsidR="006A2C1C" w:rsidRDefault="009A6A63">
      <w:pPr>
        <w:widowControl w:val="0"/>
        <w:ind w:firstLine="567"/>
        <w:jc w:val="both"/>
        <w:rPr>
          <w:spacing w:val="4"/>
        </w:rPr>
      </w:pPr>
      <w:r>
        <w:rPr>
          <w:spacing w:val="4"/>
        </w:rPr>
        <w:t xml:space="preserve">Общая сумма налога, взимаемого в связи с применением упрощенной системы налогообложения, на 2025 год прогнозируется в сумме 19650,0 тыс. рублей, на 2026 и 2027 годы </w:t>
      </w:r>
      <w:r>
        <w:t>-</w:t>
      </w:r>
      <w:r>
        <w:rPr>
          <w:spacing w:val="4"/>
        </w:rPr>
        <w:t xml:space="preserve"> в сумме 20043,0 тыс. рублей и 20443,6 тыс</w:t>
      </w:r>
      <w:r>
        <w:rPr>
          <w:color w:val="000000"/>
          <w:spacing w:val="4"/>
        </w:rPr>
        <w:t>. рублей соответственно</w:t>
      </w:r>
      <w:r>
        <w:rPr>
          <w:spacing w:val="4"/>
        </w:rPr>
        <w:t>.</w:t>
      </w:r>
    </w:p>
    <w:p w:rsidR="006A2C1C" w:rsidRDefault="009A6A63">
      <w:pPr>
        <w:ind w:firstLine="567"/>
        <w:jc w:val="both"/>
      </w:pPr>
      <w:r>
        <w:rPr>
          <w:spacing w:val="4"/>
        </w:rPr>
        <w:t>Поступление налога, взимаемого с налогоплательщиков, выбравших в качестве объекта налогообложения доходы, прогнозируется на 2025 год в сумме 16600,0 тыс. рублей.</w:t>
      </w:r>
      <w:r>
        <w:t xml:space="preserve"> 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color w:val="000000"/>
          <w:spacing w:val="4"/>
        </w:rPr>
        <w:t>Поступление налога, взимаемого с налого</w:t>
      </w:r>
      <w:r>
        <w:rPr>
          <w:spacing w:val="4"/>
        </w:rPr>
        <w:t xml:space="preserve">плательщиков, выбравших в качестве объекта налогообложения доходы, на 2026 и 2027 годы прогнозируется в сумме 16932,0 тыс. рублей и 17270,6 тыс. рублей соответственно. </w:t>
      </w:r>
    </w:p>
    <w:p w:rsidR="006A2C1C" w:rsidRDefault="009A6A63">
      <w:pPr>
        <w:tabs>
          <w:tab w:val="num" w:pos="1557"/>
        </w:tabs>
        <w:ind w:firstLine="567"/>
        <w:jc w:val="both"/>
        <w:rPr>
          <w:spacing w:val="4"/>
        </w:rPr>
      </w:pPr>
      <w:r>
        <w:rPr>
          <w:spacing w:val="4"/>
        </w:rPr>
        <w:t>Поступление налога, взимаемого с налогоплательщиков, выбравших в качестве объекта налогообложения доходы, уменьшенные на величину расходов (в том числе минимального налога, зачисляемого в бюджеты субъектов Российской Федерации), прогнозируется на 2025 год в сумме 3050,0 тыс. рублей.</w:t>
      </w:r>
    </w:p>
    <w:p w:rsidR="006A2C1C" w:rsidRDefault="009A6A63">
      <w:pPr>
        <w:tabs>
          <w:tab w:val="num" w:pos="1557"/>
        </w:tabs>
        <w:ind w:firstLine="567"/>
        <w:jc w:val="both"/>
        <w:rPr>
          <w:rFonts w:eastAsia="Calibri"/>
        </w:rPr>
      </w:pPr>
      <w:r>
        <w:rPr>
          <w:color w:val="000000"/>
          <w:spacing w:val="4"/>
        </w:rPr>
        <w:t>Поступление</w:t>
      </w:r>
      <w:r>
        <w:rPr>
          <w:spacing w:val="4"/>
        </w:rPr>
        <w:t xml:space="preserve"> налога, взимаемого с налогоплательщиков, выбравших в качестве объекта налогообложения доходы, уменьшенные на величину расходов (в том числе минимального налога, зачисляемого в бюджеты субъектов Российской Федерации), прогнозируется на 2026 и 2027 годы в сумме 3111,0 тыс. рублей и 3173,0 тыс. рублей соответственно.</w:t>
      </w:r>
    </w:p>
    <w:p w:rsidR="006A2C1C" w:rsidRDefault="006A2C1C">
      <w:pPr>
        <w:widowControl w:val="0"/>
        <w:ind w:firstLine="567"/>
        <w:jc w:val="both"/>
        <w:rPr>
          <w:b/>
        </w:rPr>
      </w:pPr>
    </w:p>
    <w:p w:rsidR="006A2C1C" w:rsidRDefault="009A6A63">
      <w:pPr>
        <w:jc w:val="center"/>
        <w:outlineLvl w:val="2"/>
        <w:rPr>
          <w:b/>
          <w:spacing w:val="4"/>
        </w:rPr>
      </w:pPr>
      <w:bookmarkStart w:id="13" w:name="_Toc211339782"/>
      <w:bookmarkStart w:id="14" w:name="_Toc211614088"/>
      <w:bookmarkStart w:id="15" w:name="_Toc243212868"/>
      <w:bookmarkStart w:id="16" w:name="_Toc274756248"/>
      <w:bookmarkStart w:id="17" w:name="_Toc306095236"/>
      <w:bookmarkStart w:id="18" w:name="_Toc337909490"/>
      <w:bookmarkStart w:id="19" w:name="_Toc337989414"/>
      <w:r>
        <w:rPr>
          <w:b/>
          <w:spacing w:val="4"/>
        </w:rPr>
        <w:t>Единый сельскохозяйственный налог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6A2C1C" w:rsidRDefault="009A6A63">
      <w:pPr>
        <w:ind w:firstLine="567"/>
        <w:jc w:val="both"/>
      </w:pPr>
      <w:r>
        <w:t>Расчет суммы единого сельскохозяйственного налога произведен в соответствии с действующим налоговым и бюджетным законодательством, а также Законом Красноярского края от 10 июля 2007 года № 2-317 «О межбюджетных отношениях в Красноярском крае».</w:t>
      </w:r>
    </w:p>
    <w:p w:rsidR="006A2C1C" w:rsidRDefault="009A6A63">
      <w:pPr>
        <w:ind w:firstLine="567"/>
        <w:jc w:val="both"/>
      </w:pPr>
      <w:r>
        <w:t xml:space="preserve">Поступление налога прогнозируется на основе отчета УФНС по краю по форме № 5-ЕСХН «О налоговой базе и структуре начислений по единому сельскохозяйственному </w:t>
      </w:r>
      <w:r>
        <w:lastRenderedPageBreak/>
        <w:t xml:space="preserve">налогу» по итогам 2023 года, с использованием показателей Прогноза СЭР края с учетом собираемости в размере 96,3%, 96,4% и 96,5% и погашения недоимки в размере 20% от ее величины на 01.07.2024.Расчет суммы </w:t>
      </w:r>
      <w:r>
        <w:rPr>
          <w:iCs/>
        </w:rPr>
        <w:t>единого сельскохозяйственного налога</w:t>
      </w:r>
      <w:r>
        <w:t xml:space="preserve"> произведен на основе:</w:t>
      </w:r>
    </w:p>
    <w:p w:rsidR="006A2C1C" w:rsidRDefault="009A6A63">
      <w:pPr>
        <w:jc w:val="both"/>
      </w:pPr>
      <w:r>
        <w:t xml:space="preserve">         информации УФНС по краю, предоставленной в соответствии с приказом № 65н;</w:t>
      </w:r>
    </w:p>
    <w:p w:rsidR="006A2C1C" w:rsidRDefault="009A6A63">
      <w:pPr>
        <w:jc w:val="both"/>
        <w:rPr>
          <w:spacing w:val="4"/>
        </w:rPr>
      </w:pPr>
      <w:bookmarkStart w:id="20" w:name="_Toc180061007"/>
      <w:r>
        <w:rPr>
          <w:spacing w:val="4"/>
        </w:rPr>
        <w:t xml:space="preserve">      Поступление единого сельскохозяйственного налога на 2025 год прогнозируется в сумме 2020,0 тыс. рублей при уровне собираемости 96.3% </w:t>
      </w:r>
    </w:p>
    <w:p w:rsidR="006A2C1C" w:rsidRDefault="009A6A63">
      <w:pPr>
        <w:jc w:val="both"/>
        <w:rPr>
          <w:spacing w:val="4"/>
        </w:rPr>
      </w:pPr>
      <w:r>
        <w:rPr>
          <w:spacing w:val="4"/>
        </w:rPr>
        <w:t xml:space="preserve">      Поступление единого сельскохозяйственного налога на 2026 год прогнозируется в сумме 1213,5 тыс. рублей при уровне собираемости 96.4% </w:t>
      </w:r>
    </w:p>
    <w:p w:rsidR="006A2C1C" w:rsidRDefault="009A6A63">
      <w:pPr>
        <w:jc w:val="both"/>
        <w:rPr>
          <w:spacing w:val="4"/>
        </w:rPr>
      </w:pPr>
      <w:r>
        <w:rPr>
          <w:spacing w:val="4"/>
        </w:rPr>
        <w:t xml:space="preserve">      Поступление единого сельскохозяйственного налога на 2027 год прогнозируется в сумме 1227,5 тыс. рублей при уровне собираемости 96.5% </w:t>
      </w:r>
      <w:bookmarkEnd w:id="20"/>
    </w:p>
    <w:p w:rsidR="006A2C1C" w:rsidRDefault="006A2C1C">
      <w:pPr>
        <w:jc w:val="center"/>
        <w:rPr>
          <w:b/>
          <w:iCs/>
          <w:sz w:val="28"/>
          <w:szCs w:val="28"/>
        </w:rPr>
      </w:pPr>
    </w:p>
    <w:p w:rsidR="006A2C1C" w:rsidRDefault="009A6A63">
      <w:pPr>
        <w:jc w:val="center"/>
        <w:rPr>
          <w:b/>
          <w:iCs/>
        </w:rPr>
      </w:pPr>
      <w:r>
        <w:rPr>
          <w:b/>
          <w:iCs/>
        </w:rPr>
        <w:t>Налог, взимаемый в связи с применением патентной системы налогообложения</w:t>
      </w:r>
    </w:p>
    <w:p w:rsidR="006A2C1C" w:rsidRDefault="009A6A63">
      <w:pPr>
        <w:ind w:firstLine="567"/>
        <w:jc w:val="both"/>
      </w:pPr>
      <w:r>
        <w:t xml:space="preserve">Расчет суммы налога, взимаемого в связи с применением патентной системы налогообложения, произведен в соответствии с действующим   налоговым и бюджетным законодательством, с учетом изменения с 01.01.2025, сроков уплаты налога по патентам, срок окончания действия которых приходится на 31 декабря. </w:t>
      </w:r>
    </w:p>
    <w:p w:rsidR="006A2C1C" w:rsidRDefault="009A6A63">
      <w:pPr>
        <w:ind w:firstLine="567"/>
        <w:jc w:val="both"/>
      </w:pPr>
      <w:r>
        <w:t>Кроме того, учтен планируемый к принятию проект Закона края, предусматривающим продление действия нулевой налоговой ставки до 01.01.2027 для впервые зарегистрированных индивидуальных предпринимателей, осуществляющих деятельность в производственной, социальной, научной и других сферах, установленной Законом Красноярского края от 25 июня 2015 года № 8-3530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налогообложения и (или) патентную систему налогообложения».</w:t>
      </w:r>
    </w:p>
    <w:p w:rsidR="006A2C1C" w:rsidRDefault="009A6A63">
      <w:pPr>
        <w:ind w:firstLine="567"/>
        <w:jc w:val="both"/>
      </w:pPr>
      <w:r>
        <w:t>Сумма налога, взимаемого в связи с применением патентной системы налогообложения, определена на основе: отчета УФНС по краю по форме 1-Патент «О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деятельности» по состоянию на 01.07.2024 с учетом подлежащих уплате страховых взносов, уменьшающих стоимость патента и собираемости налога 100%.</w:t>
      </w:r>
    </w:p>
    <w:p w:rsidR="006A2C1C" w:rsidRDefault="009A6A63">
      <w:pPr>
        <w:ind w:firstLine="567"/>
        <w:jc w:val="both"/>
      </w:pPr>
      <w:r>
        <w:t>Кроме того, учтен ежегодный рост размера потенциально возможного к получению индивидуальным предпринимателем годового дохода на уровень инфляции, предусмотренный Федеральным законом от 27 ноября 2023 года № 540-ФЗ «О федеральном бюджете на 2024 год и на плановый период 2025 и 2026 годов», равный 105,1%  и информация об изменении количества выданных патентов.</w:t>
      </w:r>
    </w:p>
    <w:p w:rsidR="006A2C1C" w:rsidRDefault="009A6A63">
      <w:pPr>
        <w:ind w:firstLine="567"/>
        <w:jc w:val="both"/>
      </w:pPr>
      <w:r>
        <w:t>Прогноз поступления налога, взимаемого в связи с применением ПСН, определен с учетом норматива отчисления в местные бюджеты в размере 100% и собираемости налога 100%.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 xml:space="preserve">Поступление </w:t>
      </w:r>
      <w:r>
        <w:rPr>
          <w:iCs/>
        </w:rPr>
        <w:t>налога, взимаемого в связи с применением патентной системы налогообложения,</w:t>
      </w:r>
      <w:r>
        <w:rPr>
          <w:spacing w:val="4"/>
        </w:rPr>
        <w:t xml:space="preserve"> на 2025 год прогнозируется в сумме 3650,0 тыс. рублей.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Поступление</w:t>
      </w:r>
      <w:r>
        <w:rPr>
          <w:iCs/>
        </w:rPr>
        <w:t xml:space="preserve"> налога, взимаемого в связи с применением патентной системы налогообложения,</w:t>
      </w:r>
      <w:r>
        <w:rPr>
          <w:spacing w:val="4"/>
        </w:rPr>
        <w:t xml:space="preserve"> на 2026 год прогнозируется в сумме 3690,0 тыс. рублей. 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 xml:space="preserve">Поступление </w:t>
      </w:r>
      <w:r>
        <w:rPr>
          <w:iCs/>
        </w:rPr>
        <w:t>налога, взимаемого в связи с применением патентной системы налогообложения,</w:t>
      </w:r>
      <w:r>
        <w:rPr>
          <w:spacing w:val="4"/>
        </w:rPr>
        <w:t xml:space="preserve"> на 2027 год прогнозируется в сумме 3731,0тыс. рублей. </w:t>
      </w:r>
    </w:p>
    <w:p w:rsidR="006A2C1C" w:rsidRDefault="006A2C1C">
      <w:pPr>
        <w:jc w:val="both"/>
        <w:rPr>
          <w:spacing w:val="4"/>
        </w:rPr>
      </w:pPr>
    </w:p>
    <w:p w:rsidR="006A2C1C" w:rsidRDefault="009A6A63">
      <w:pPr>
        <w:jc w:val="center"/>
        <w:outlineLvl w:val="2"/>
        <w:rPr>
          <w:b/>
          <w:spacing w:val="4"/>
        </w:rPr>
      </w:pPr>
      <w:bookmarkStart w:id="21" w:name="_Toc243212873"/>
      <w:bookmarkStart w:id="22" w:name="_Toc274756253"/>
      <w:bookmarkStart w:id="23" w:name="_Toc306095241"/>
      <w:bookmarkStart w:id="24" w:name="_Toc337909496"/>
      <w:bookmarkStart w:id="25" w:name="_Toc337989420"/>
      <w:r>
        <w:rPr>
          <w:b/>
          <w:spacing w:val="4"/>
        </w:rPr>
        <w:t>Государственная пошлина</w:t>
      </w:r>
      <w:bookmarkEnd w:id="21"/>
      <w:bookmarkEnd w:id="22"/>
      <w:bookmarkEnd w:id="23"/>
      <w:bookmarkEnd w:id="24"/>
      <w:bookmarkEnd w:id="25"/>
    </w:p>
    <w:p w:rsidR="006A2C1C" w:rsidRDefault="009A6A63">
      <w:pPr>
        <w:ind w:firstLine="567"/>
        <w:jc w:val="both"/>
      </w:pPr>
      <w:r>
        <w:t>Поступление государственной пошлины в районный  бюджет на 2025 год прогнозируется в сумме  2069,0 тыс. рублей.</w:t>
      </w:r>
    </w:p>
    <w:p w:rsidR="006A2C1C" w:rsidRDefault="009A6A63">
      <w:pPr>
        <w:ind w:firstLine="567"/>
        <w:jc w:val="both"/>
      </w:pPr>
      <w:r>
        <w:t>Расчет государственной пошлины выполнен на основе оценки поступлений в 2024 году.</w:t>
      </w:r>
    </w:p>
    <w:p w:rsidR="006A2C1C" w:rsidRDefault="009A6A63">
      <w:pPr>
        <w:ind w:firstLine="567"/>
        <w:jc w:val="both"/>
      </w:pPr>
      <w:r>
        <w:lastRenderedPageBreak/>
        <w:t xml:space="preserve">Поступление государственной пошлины на 2026 год прогнозируется в сумме 2110,0 тыс. рублей. </w:t>
      </w:r>
    </w:p>
    <w:p w:rsidR="006A2C1C" w:rsidRDefault="009A6A63">
      <w:pPr>
        <w:ind w:firstLine="567"/>
        <w:jc w:val="both"/>
      </w:pPr>
      <w:r>
        <w:t xml:space="preserve">Поступление государственной пошлины на 2027 год прогнозируется в сумме 2152,0 тыс. рублей. </w:t>
      </w:r>
    </w:p>
    <w:p w:rsidR="006A2C1C" w:rsidRDefault="006A2C1C">
      <w:pPr>
        <w:jc w:val="both"/>
        <w:rPr>
          <w:sz w:val="28"/>
        </w:rPr>
      </w:pPr>
    </w:p>
    <w:p w:rsidR="006A2C1C" w:rsidRDefault="009A6A63">
      <w:pPr>
        <w:ind w:firstLine="567"/>
        <w:jc w:val="center"/>
        <w:rPr>
          <w:b/>
          <w:spacing w:val="4"/>
        </w:rPr>
      </w:pPr>
      <w:r>
        <w:rPr>
          <w:b/>
          <w:spacing w:val="4"/>
        </w:rPr>
        <w:t>Доходы от использования имущества, находящегося в государственной и муниципальной собственности</w:t>
      </w:r>
    </w:p>
    <w:p w:rsidR="006A2C1C" w:rsidRDefault="009A6A63">
      <w:pPr>
        <w:ind w:firstLine="567"/>
        <w:jc w:val="both"/>
        <w:rPr>
          <w:spacing w:val="4"/>
        </w:rPr>
      </w:pPr>
      <w:bookmarkStart w:id="26" w:name="_Toc211157392"/>
      <w:bookmarkStart w:id="27" w:name="_Toc211614111"/>
      <w:bookmarkStart w:id="28" w:name="_Toc243212875"/>
      <w:bookmarkStart w:id="29" w:name="_Toc274756255"/>
      <w:r>
        <w:rPr>
          <w:spacing w:val="4"/>
        </w:rPr>
        <w:t>Поступление доходов от использования имущества, находящегося в государственной и муниципальной собственности, на 2025 год прогнозируется в сумме 5356,0 тыс. рублей.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 xml:space="preserve">Доходы от использования имущества, находящегося в государственной и муниципальной собственности, на 2026 год прогнозируются в сумме 5570,2 тыс. рублей, темп роста к 2025 году составляет 104,0 %. 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 xml:space="preserve">Доходы от использования имущества, находящегося в государственной и муниципальной собственности, на 2027 год прогнозируются в сумме 5793,0 тыс. рублей, темп роста к 2026 году составляет 104,0 %. </w:t>
      </w:r>
      <w:bookmarkEnd w:id="26"/>
      <w:bookmarkEnd w:id="27"/>
      <w:bookmarkEnd w:id="28"/>
      <w:bookmarkEnd w:id="29"/>
    </w:p>
    <w:p w:rsidR="006A2C1C" w:rsidRDefault="006A2C1C">
      <w:pPr>
        <w:jc w:val="center"/>
        <w:rPr>
          <w:b/>
          <w:spacing w:val="4"/>
          <w:sz w:val="28"/>
          <w:szCs w:val="28"/>
        </w:rPr>
      </w:pPr>
    </w:p>
    <w:p w:rsidR="006A2C1C" w:rsidRDefault="009A6A63">
      <w:pPr>
        <w:ind w:firstLine="567"/>
        <w:jc w:val="center"/>
        <w:rPr>
          <w:b/>
          <w:spacing w:val="4"/>
        </w:rPr>
      </w:pPr>
      <w:r>
        <w:rPr>
          <w:b/>
          <w:spacing w:val="4"/>
        </w:rPr>
        <w:t>Платежи при пользовании природными ресурсами</w:t>
      </w:r>
    </w:p>
    <w:p w:rsidR="006A2C1C" w:rsidRDefault="009A6A63">
      <w:pPr>
        <w:pStyle w:val="3"/>
        <w:spacing w:before="0" w:after="0"/>
        <w:ind w:firstLine="567"/>
        <w:jc w:val="center"/>
        <w:rPr>
          <w:rFonts w:ascii="Times New Roman" w:hAnsi="Times New Roman"/>
          <w:spacing w:val="4"/>
          <w:sz w:val="24"/>
          <w:szCs w:val="24"/>
        </w:rPr>
      </w:pPr>
      <w:bookmarkStart w:id="30" w:name="_Toc306095248"/>
      <w:bookmarkStart w:id="31" w:name="_Toc337909502"/>
      <w:bookmarkStart w:id="32" w:name="_Toc337989426"/>
      <w:r>
        <w:rPr>
          <w:rFonts w:ascii="Times New Roman" w:hAnsi="Times New Roman"/>
          <w:spacing w:val="4"/>
          <w:sz w:val="24"/>
          <w:szCs w:val="24"/>
        </w:rPr>
        <w:t>Плата за негативное воздействие на окружающую среду</w:t>
      </w:r>
      <w:bookmarkEnd w:id="30"/>
      <w:bookmarkEnd w:id="31"/>
      <w:bookmarkEnd w:id="32"/>
    </w:p>
    <w:p w:rsidR="006A2C1C" w:rsidRDefault="009A6A63">
      <w:pPr>
        <w:ind w:firstLine="567"/>
        <w:jc w:val="both"/>
      </w:pPr>
      <w:bookmarkStart w:id="33" w:name="_Toc337909505"/>
      <w:bookmarkStart w:id="34" w:name="_Toc337989429"/>
      <w:r>
        <w:t>Расчет платы за негативное воздействие на окружающую среду произведен в соответствии с действующим законодательством с учетом порядка и сроков внесения платы, нормативов распределения платы между бюджетами бюджетной системы Российской Федерации.</w:t>
      </w:r>
    </w:p>
    <w:p w:rsidR="006A2C1C" w:rsidRDefault="009A6A63">
      <w:pPr>
        <w:ind w:firstLine="567"/>
        <w:jc w:val="both"/>
      </w:pPr>
      <w:r>
        <w:t>В 2025 году прогнозируется поступление доплаты по итогам декларирования за 2024 год и трех авансовых платежей с учетом применения коэффициента, предусмотренного постановлением Правительства Российской Федерации от 17 апреля 2024 года № 492.</w:t>
      </w:r>
    </w:p>
    <w:p w:rsidR="006A2C1C" w:rsidRDefault="009A6A63">
      <w:pPr>
        <w:ind w:firstLine="567"/>
        <w:jc w:val="both"/>
      </w:pPr>
      <w:r>
        <w:t>Поступление платы за негативное воздействие на окружающую среду на 2026 и 2027 годы прогнозируется на уровне 2025 года. Индексация ставок в 2026 и 2027 годах действующим законодательством не предусмотрена.</w:t>
      </w:r>
    </w:p>
    <w:p w:rsidR="006A2C1C" w:rsidRDefault="009A6A63">
      <w:pPr>
        <w:ind w:firstLine="567"/>
        <w:jc w:val="both"/>
      </w:pPr>
      <w:r>
        <w:t xml:space="preserve">В соответствии с частью 2 статьи 62 Бюджетного кодекса Российской Федерации плата за негативное воздействие на окружающую среду подлежит распределению в бюджеты муниципальных районов, муниципальных и городских округов исходя из норматива 60 процентов. 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Поступление платы за негативное воздействие на окружающую среду на 2025 год прогнозируется в сумме 17000,0 тыс. рублей, в том числе по плате за выбросы загрязняющих веществ в атмосферный воздух стационарными объектами - 44,0 тыс. рублей, по плате за сбросы загрязняющих веществ в водные объекты - 100,0 тыс. рублей, по плате за размещение отходов производства  – 16856,0 тыс. рублей.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Поступление платы за негативное воздействие на окружающую среду на 2026 и 2027 годы прогнозируется в сумме 17000,0 тыс. руб. ежегодно.</w:t>
      </w:r>
    </w:p>
    <w:p w:rsidR="006A2C1C" w:rsidRDefault="006A2C1C">
      <w:pPr>
        <w:pStyle w:val="3"/>
        <w:spacing w:before="0" w:after="0"/>
        <w:ind w:firstLine="567"/>
        <w:rPr>
          <w:rFonts w:ascii="Times New Roman" w:hAnsi="Times New Roman"/>
          <w:spacing w:val="4"/>
          <w:sz w:val="24"/>
          <w:szCs w:val="24"/>
        </w:rPr>
      </w:pPr>
    </w:p>
    <w:p w:rsidR="006A2C1C" w:rsidRDefault="009A6A63">
      <w:pPr>
        <w:pStyle w:val="3"/>
        <w:spacing w:before="0" w:after="0"/>
        <w:jc w:val="center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Прочие доходы от оказания платных услуг (работ) и компенсации затрат государства</w:t>
      </w:r>
      <w:bookmarkEnd w:id="33"/>
      <w:bookmarkEnd w:id="34"/>
    </w:p>
    <w:p w:rsidR="006A2C1C" w:rsidRDefault="009A6A63">
      <w:pPr>
        <w:ind w:firstLine="567"/>
        <w:jc w:val="both"/>
      </w:pPr>
      <w:bookmarkStart w:id="35" w:name="_Toc243212892"/>
      <w:bookmarkStart w:id="36" w:name="_Toc274756271"/>
      <w:bookmarkStart w:id="37" w:name="_Toc306095258"/>
      <w:bookmarkStart w:id="38" w:name="_Toc337909512"/>
      <w:bookmarkStart w:id="39" w:name="_Toc337989436"/>
      <w:bookmarkStart w:id="40" w:name="_Toc337909508"/>
      <w:bookmarkStart w:id="41" w:name="_Toc337989432"/>
      <w:bookmarkStart w:id="42" w:name="_Toc211157415"/>
      <w:bookmarkStart w:id="43" w:name="_Toc211614132"/>
      <w:bookmarkStart w:id="44" w:name="_Toc243212886"/>
      <w:bookmarkStart w:id="45" w:name="_Toc274756265"/>
      <w:r>
        <w:t xml:space="preserve"> Доходы от оказания платных услуг (работ) и компенсации затрат государства на 2025 год прогнозируются в сумме 1910,2 тыс. рублей на основании данных главных администраторов доходов бюджета, в том числе:</w:t>
      </w:r>
    </w:p>
    <w:p w:rsidR="006A2C1C" w:rsidRDefault="009A6A63">
      <w:pPr>
        <w:tabs>
          <w:tab w:val="num" w:pos="1386"/>
          <w:tab w:val="num" w:pos="1785"/>
        </w:tabs>
        <w:ind w:firstLine="567"/>
        <w:jc w:val="both"/>
      </w:pPr>
      <w:r>
        <w:t xml:space="preserve">      - прочие доходы от оказания платных услуг (работ) составят 1650,2 тыс. рублей - средства за платные услуги, оказываемые казенными учреждениями в рамках приносящей доход деятельности. </w:t>
      </w:r>
    </w:p>
    <w:p w:rsidR="006A2C1C" w:rsidRDefault="009A6A63">
      <w:pPr>
        <w:tabs>
          <w:tab w:val="num" w:pos="1386"/>
          <w:tab w:val="num" w:pos="1785"/>
        </w:tabs>
        <w:ind w:firstLine="567"/>
        <w:jc w:val="both"/>
      </w:pPr>
      <w:r>
        <w:t xml:space="preserve">       - доходы, поступающие в порядке возмещения расходов, понесенных в связи с эксплуатацией имущества на 2025 год прогнозируются в сумме 260,0 тыс. рублей.</w:t>
      </w:r>
    </w:p>
    <w:p w:rsidR="006A2C1C" w:rsidRDefault="009A6A63">
      <w:pPr>
        <w:ind w:firstLine="567"/>
        <w:jc w:val="both"/>
      </w:pPr>
      <w:r>
        <w:lastRenderedPageBreak/>
        <w:t>Прочие доходы от оказания платных услуг (работ) и компенсации затрат государства на 2026 и 2027 годы прогнозируются в сумме 1716,2 тыс. рублей и 1784,9 тыс. рублей соответственно на основании данных главных администраторов доходов районного бюджета.</w:t>
      </w:r>
      <w:bookmarkEnd w:id="35"/>
      <w:bookmarkEnd w:id="36"/>
      <w:bookmarkEnd w:id="37"/>
      <w:bookmarkEnd w:id="38"/>
    </w:p>
    <w:p w:rsidR="006A2C1C" w:rsidRDefault="009A6A63">
      <w:pPr>
        <w:ind w:firstLine="567"/>
        <w:jc w:val="both"/>
      </w:pPr>
      <w:r>
        <w:t>Доходы, поступающие в порядке возмещения расходов, понесенных в связи с эксплуатацией имущества на 2026 и 2027 годы прогнозируются в сумме 270,4 тыс. рублей и 281,2 тыс. руб.</w:t>
      </w:r>
    </w:p>
    <w:p w:rsidR="006A2C1C" w:rsidRDefault="009A6A63">
      <w:pPr>
        <w:pStyle w:val="3"/>
        <w:ind w:firstLine="567"/>
        <w:jc w:val="center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учреждений, а также земельных участков государственных и муниципальных предприятий, в том числе казенных)</w:t>
      </w:r>
      <w:bookmarkEnd w:id="39"/>
      <w:bookmarkEnd w:id="40"/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Поступление д</w:t>
      </w:r>
      <w:r>
        <w:t xml:space="preserve">оходов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на 2025-2027 года </w:t>
      </w:r>
      <w:r>
        <w:rPr>
          <w:spacing w:val="4"/>
        </w:rPr>
        <w:t>по данным органов местного самоуправления, уполномоченных в сфере управления муниципальным имуществом   прогнозируются в сумме 330,0 тыс. руб.,ежегодно.</w:t>
      </w:r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Поступление д</w:t>
      </w:r>
      <w:r>
        <w:t>оходов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>
        <w:rPr>
          <w:spacing w:val="4"/>
        </w:rPr>
        <w:t>, в 2025-2027 годах    прогнозируются 104,0 тыс. руб., ежегодно.</w:t>
      </w:r>
    </w:p>
    <w:p w:rsidR="006A2C1C" w:rsidRDefault="006A2C1C">
      <w:pPr>
        <w:jc w:val="both"/>
        <w:rPr>
          <w:spacing w:val="4"/>
          <w:sz w:val="28"/>
          <w:szCs w:val="28"/>
        </w:rPr>
      </w:pPr>
    </w:p>
    <w:p w:rsidR="006A2C1C" w:rsidRDefault="009A6A63">
      <w:pPr>
        <w:pStyle w:val="3"/>
        <w:spacing w:before="0" w:after="0"/>
        <w:jc w:val="center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Штрафы, санкции, возмещение ущерба</w:t>
      </w:r>
      <w:bookmarkEnd w:id="41"/>
      <w:bookmarkEnd w:id="42"/>
      <w:bookmarkEnd w:id="43"/>
      <w:bookmarkEnd w:id="44"/>
      <w:bookmarkEnd w:id="45"/>
    </w:p>
    <w:p w:rsidR="006A2C1C" w:rsidRDefault="009A6A63">
      <w:pPr>
        <w:ind w:firstLine="567"/>
        <w:jc w:val="both"/>
        <w:rPr>
          <w:spacing w:val="4"/>
        </w:rPr>
      </w:pPr>
      <w:r>
        <w:rPr>
          <w:spacing w:val="4"/>
        </w:rPr>
        <w:t>Прогноз поступления штрафов, санкций, возмещения ущерба определен на основании данных, представленных главными администраторами доходов бюджетов</w:t>
      </w:r>
    </w:p>
    <w:p w:rsidR="006A2C1C" w:rsidRDefault="009A6A63">
      <w:pPr>
        <w:pStyle w:val="aff9"/>
        <w:spacing w:after="0"/>
        <w:ind w:firstLine="567"/>
        <w:jc w:val="both"/>
      </w:pPr>
      <w:r>
        <w:t xml:space="preserve">Поступление штрафов, санкций, возмещения ущерба в районный бюджет на 2025 год прогнозируется в сумме 600,0 тыс. рублей. </w:t>
      </w:r>
    </w:p>
    <w:p w:rsidR="006A2C1C" w:rsidRDefault="009A6A63">
      <w:pPr>
        <w:ind w:firstLine="567"/>
        <w:jc w:val="both"/>
      </w:pPr>
      <w:r>
        <w:t xml:space="preserve">Поступление штрафов, санкций, возмещения ущерба в районный бюджет на 2026-2027 годы прогнозируется в сумме 624,0 тыс. рублей и 649,0 тыс. рублей соответственно. </w:t>
      </w:r>
    </w:p>
    <w:p w:rsidR="006A2C1C" w:rsidRDefault="006A2C1C">
      <w:pPr>
        <w:pStyle w:val="3"/>
        <w:spacing w:before="0" w:after="0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6A2C1C" w:rsidRDefault="009A6A63">
      <w:pPr>
        <w:pStyle w:val="3"/>
        <w:spacing w:before="0" w:after="0"/>
        <w:jc w:val="center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Безвозмездные поступления</w:t>
      </w:r>
    </w:p>
    <w:p w:rsidR="006A2C1C" w:rsidRDefault="009A6A63">
      <w:pPr>
        <w:ind w:firstLine="567"/>
        <w:jc w:val="both"/>
      </w:pPr>
      <w:r>
        <w:t xml:space="preserve">Безвозмездные поступления на 2025 год прогнозируются в сумме 673472,3 тыс. рублей, в том числе:    </w:t>
      </w:r>
    </w:p>
    <w:p w:rsidR="006A2C1C" w:rsidRDefault="009A6A63">
      <w:pPr>
        <w:ind w:firstLine="567"/>
        <w:jc w:val="both"/>
      </w:pPr>
      <w:r>
        <w:t>- на основании проекта закона о краевом бюджете 673164,9 тыс. рублей</w:t>
      </w:r>
    </w:p>
    <w:p w:rsidR="006A2C1C" w:rsidRDefault="009A6A63">
      <w:pPr>
        <w:ind w:firstLine="567"/>
        <w:jc w:val="both"/>
      </w:pPr>
      <w:r>
        <w:t xml:space="preserve">- на основании проекта решения «О районном бюджете на 2025 год и плановый период 2026-2027 годы» в сумме 307,4 тыс. рублей </w:t>
      </w:r>
    </w:p>
    <w:p w:rsidR="006A2C1C" w:rsidRDefault="009A6A63">
      <w:pPr>
        <w:ind w:firstLine="567"/>
        <w:jc w:val="both"/>
      </w:pPr>
      <w:r>
        <w:t>Суммы безвозмездных поступлений на 2026 год  прогнозируются в сумме 685637,0 тыс. рублей, в том числе:</w:t>
      </w:r>
    </w:p>
    <w:p w:rsidR="006A2C1C" w:rsidRDefault="009A6A63">
      <w:pPr>
        <w:ind w:firstLine="567"/>
        <w:jc w:val="both"/>
      </w:pPr>
      <w:r>
        <w:t>- на основании проекта закона о краевом бюджете 633257,4 тыс. рублей</w:t>
      </w:r>
    </w:p>
    <w:p w:rsidR="006A2C1C" w:rsidRDefault="009A6A63">
      <w:pPr>
        <w:ind w:firstLine="567"/>
        <w:jc w:val="both"/>
      </w:pPr>
      <w:r>
        <w:t xml:space="preserve">- на основании проекта решения «О районном бюджете на 2025 год и плановый период 2026-2027 годы» в сумме 52379,6 тыс. рублей </w:t>
      </w:r>
    </w:p>
    <w:p w:rsidR="006A2C1C" w:rsidRDefault="009A6A63">
      <w:pPr>
        <w:ind w:firstLine="567"/>
        <w:jc w:val="both"/>
      </w:pPr>
      <w:r>
        <w:t>Суммы безвозмездных поступлений на 2027 год  прогнозируются в сумме 696838,9 тыс. рублей, в том числе:</w:t>
      </w:r>
    </w:p>
    <w:p w:rsidR="006A2C1C" w:rsidRDefault="009A6A63">
      <w:pPr>
        <w:ind w:firstLine="567"/>
        <w:jc w:val="both"/>
      </w:pPr>
      <w:r>
        <w:t>- на основании проекта закона о краевом бюджете 627871,3 тыс. рублей- на основании проекта решения «О районном бюджете на 2025 год и плановый период 2026-2027 годы» в сумме 68967,6 тыс. рублей.</w:t>
      </w:r>
    </w:p>
    <w:p w:rsidR="006A2C1C" w:rsidRDefault="006A2C1C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6A2C1C" w:rsidRDefault="009A6A63">
      <w:pPr>
        <w:jc w:val="center"/>
        <w:rPr>
          <w:b/>
        </w:rPr>
      </w:pPr>
      <w:r>
        <w:rPr>
          <w:b/>
        </w:rPr>
        <w:t>Анализ расходов районного бюджета</w:t>
      </w:r>
    </w:p>
    <w:p w:rsidR="006A2C1C" w:rsidRDefault="009A6A63">
      <w:pPr>
        <w:jc w:val="center"/>
        <w:rPr>
          <w:b/>
        </w:rPr>
      </w:pPr>
      <w:r>
        <w:rPr>
          <w:b/>
        </w:rPr>
        <w:t>на 2025 год и плановый период 2026-2027 годов</w:t>
      </w:r>
    </w:p>
    <w:p w:rsidR="006A2C1C" w:rsidRDefault="009A6A63">
      <w:pPr>
        <w:ind w:firstLine="567"/>
        <w:jc w:val="both"/>
      </w:pPr>
      <w:r>
        <w:t xml:space="preserve">За основу формирования расходов районного бюджета на 2025 год принят объем расходов, предусмотренных на 2024 год решением Партизанского районного Совета </w:t>
      </w:r>
      <w:r>
        <w:lastRenderedPageBreak/>
        <w:t>депутатов от 14.12.2023 № 43-439-р «О районном бюджете на 2024 год и плановый период 2025-2026 годов» в первоначальной редакции с учетом:</w:t>
      </w:r>
    </w:p>
    <w:p w:rsidR="006A2C1C" w:rsidRDefault="009A6A63">
      <w:pPr>
        <w:ind w:firstLine="567"/>
        <w:jc w:val="both"/>
      </w:pPr>
      <w:r>
        <w:t>увеличения расходов на исполнение публичных нормативных обязательств в 2025 году на 5%;</w:t>
      </w:r>
    </w:p>
    <w:p w:rsidR="006A2C1C" w:rsidRDefault="009A6A63">
      <w:pPr>
        <w:ind w:firstLine="567"/>
        <w:jc w:val="both"/>
      </w:pPr>
      <w:r>
        <w:t>увеличения расходов на коммунальные услуги на 7,4% в 2025 году;</w:t>
      </w:r>
    </w:p>
    <w:p w:rsidR="006A2C1C" w:rsidRDefault="009A6A63">
      <w:pPr>
        <w:ind w:firstLine="567"/>
        <w:jc w:val="both"/>
      </w:pPr>
      <w:r>
        <w:t>индексации расходов муниципальных образовательных учреждений на приобретение продуктов для организации питания в 2025 году на 5%.</w:t>
      </w:r>
    </w:p>
    <w:p w:rsidR="006A2C1C" w:rsidRDefault="009A6A63">
      <w:pPr>
        <w:ind w:firstLine="567"/>
        <w:jc w:val="both"/>
      </w:pPr>
      <w:r>
        <w:t>В Проекте бюджета расходы в трехлетнем бюджетном цикле запланированы в объеме 2 432 892,4 тыс. рублей, из них на 2025 год -  794376,8 тыс. рублей, (на 87531,3 тыс.рублей , или  на 12,4% больше первоначальной редакции бюджета на 2024 год), в 2026 году - 811321,1 тыс.рублей (на 16944,3 тыс.рублей, или на 14,8 % больше первоначальной редакции бюджета на 2024 год), в 2027 году - 827194,5 тыс.рублей, (на 15873,4 тыс.рублей, или на 17,0 % больше первоначальной редакции бюджета на 2024 год).</w:t>
      </w:r>
    </w:p>
    <w:p w:rsidR="006A2C1C" w:rsidRDefault="009A6A63">
      <w:pPr>
        <w:ind w:firstLine="567"/>
        <w:jc w:val="both"/>
      </w:pPr>
      <w:r>
        <w:t>Прогноз объема расходов (без учета условно утвержденных расходов) в:</w:t>
      </w:r>
    </w:p>
    <w:p w:rsidR="006A2C1C" w:rsidRDefault="009A6A63">
      <w:pPr>
        <w:ind w:firstLine="567"/>
        <w:jc w:val="both"/>
      </w:pPr>
      <w:r>
        <w:t>2026 году - 791038,1 тыс. рублей, что на 0,4% меньше 2025 года;</w:t>
      </w:r>
    </w:p>
    <w:p w:rsidR="006A2C1C" w:rsidRDefault="009A6A63">
      <w:pPr>
        <w:ind w:firstLine="567"/>
        <w:jc w:val="both"/>
      </w:pPr>
      <w:r>
        <w:t>2027 году – 785834,8 тыс. рублей, что на 1,8% меньше 2025 года.</w:t>
      </w:r>
    </w:p>
    <w:p w:rsidR="006A2C1C" w:rsidRDefault="006A2C1C">
      <w:pPr>
        <w:jc w:val="both"/>
        <w:rPr>
          <w:color w:val="000000"/>
        </w:rPr>
      </w:pPr>
    </w:p>
    <w:p w:rsidR="006A2C1C" w:rsidRDefault="009A6A63">
      <w:pPr>
        <w:jc w:val="center"/>
        <w:rPr>
          <w:color w:val="000000"/>
        </w:rPr>
      </w:pPr>
      <w:r>
        <w:rPr>
          <w:color w:val="000000"/>
        </w:rPr>
        <w:t>Распределение бюджетных ассигнований по разделам и подразделам бюджетной классификации расходов бюджета Партизанского района на 2025 год и плановый период 2026-2027 годов представлено в таблице</w:t>
      </w:r>
    </w:p>
    <w:p w:rsidR="006A2C1C" w:rsidRDefault="009A6A63">
      <w:pPr>
        <w:spacing w:before="40" w:line="264" w:lineRule="auto"/>
        <w:ind w:firstLine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34"/>
        <w:gridCol w:w="1111"/>
        <w:gridCol w:w="1276"/>
        <w:gridCol w:w="1013"/>
        <w:gridCol w:w="1013"/>
        <w:gridCol w:w="1249"/>
        <w:gridCol w:w="1140"/>
        <w:gridCol w:w="829"/>
      </w:tblGrid>
      <w:tr w:rsidR="006A2C1C" w:rsidTr="006B2FC6">
        <w:trPr>
          <w:trHeight w:val="567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1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:rsidR="006A2C1C" w:rsidRDefault="006A2C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2C1C" w:rsidRDefault="006A2C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Раздел-подраздел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 (первоначальная редакция)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решения 2025 год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Проект решения 2026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решения 2027 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Прирост/снижение </w:t>
            </w:r>
          </w:p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к 2024 </w:t>
            </w:r>
          </w:p>
        </w:tc>
      </w:tr>
      <w:tr w:rsidR="006A2C1C" w:rsidTr="006B2FC6">
        <w:trPr>
          <w:trHeight w:val="567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6A2C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6A2C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Тыс.рублей</w:t>
            </w:r>
          </w:p>
        </w:tc>
        <w:tc>
          <w:tcPr>
            <w:tcW w:w="8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7=4-3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8=4/3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84978,8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92683,7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92861,8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92764,7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+7704,9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1522,9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2050,1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2257,0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+527,2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34,6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457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5170,8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5170,8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5170,8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+8736,9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6A2C1C" w:rsidTr="006B2FC6">
        <w:trPr>
          <w:trHeight w:val="457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19091,1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20482,9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20658,7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20841,5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+1391,9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13942,9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13203,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13203,0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13203,0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-739,9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-5,3</w:t>
            </w:r>
          </w:p>
        </w:tc>
      </w:tr>
      <w:tr w:rsidR="006A2C1C" w:rsidTr="006B2FC6">
        <w:trPr>
          <w:trHeight w:val="30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359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17197,9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17197,9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17197,9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+16197,9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1719,7</w:t>
            </w:r>
          </w:p>
        </w:tc>
      </w:tr>
      <w:tr w:rsidR="006A2C1C" w:rsidTr="006B2FC6">
        <w:trPr>
          <w:trHeight w:val="359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285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0700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420454,9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463848,9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462881,1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462883,8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+43394,0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</w:tr>
      <w:tr w:rsidR="006A2C1C" w:rsidTr="006B2FC6">
        <w:trPr>
          <w:trHeight w:val="285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227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60039,4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68867,7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68866,0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68745,1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+8828,3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</w:tr>
      <w:tr w:rsidR="006A2C1C" w:rsidTr="006B2FC6">
        <w:trPr>
          <w:trHeight w:val="227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36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24514,7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24647,5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24693,0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21779,2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+132,8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C1C" w:rsidTr="006B2FC6">
        <w:trPr>
          <w:trHeight w:val="36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323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18289,6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21916,8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21916,8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21916,8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+3627,2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</w:t>
            </w:r>
          </w:p>
        </w:tc>
      </w:tr>
      <w:tr w:rsidR="006A2C1C" w:rsidTr="006B2FC6">
        <w:trPr>
          <w:trHeight w:val="323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47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47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47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58714,3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64292,1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61332,0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61332,0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+5577,8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</w:t>
            </w:r>
          </w:p>
        </w:tc>
      </w:tr>
      <w:tr w:rsidR="006A2C1C" w:rsidTr="006B2FC6">
        <w:trPr>
          <w:trHeight w:val="470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141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разделам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706845,5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794376,8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791038,1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785834,8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+87531,3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6A2C1C" w:rsidTr="006B2FC6">
        <w:trPr>
          <w:trHeight w:val="141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20283,0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41359,7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6A2C1C" w:rsidTr="006B2FC6">
        <w:trPr>
          <w:trHeight w:val="258"/>
        </w:trPr>
        <w:tc>
          <w:tcPr>
            <w:tcW w:w="24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1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A2C1C" w:rsidRDefault="006A2C1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706845,5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794376,8</w:t>
            </w:r>
          </w:p>
        </w:tc>
        <w:tc>
          <w:tcPr>
            <w:tcW w:w="10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811321,1</w:t>
            </w:r>
          </w:p>
        </w:tc>
        <w:tc>
          <w:tcPr>
            <w:tcW w:w="12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827194,5</w:t>
            </w:r>
          </w:p>
        </w:tc>
        <w:tc>
          <w:tcPr>
            <w:tcW w:w="1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+87531,3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</w:t>
            </w:r>
          </w:p>
        </w:tc>
      </w:tr>
    </w:tbl>
    <w:p w:rsidR="006A2C1C" w:rsidRDefault="009A6A63">
      <w:pPr>
        <w:ind w:firstLine="567"/>
        <w:jc w:val="both"/>
      </w:pPr>
      <w:r>
        <w:t xml:space="preserve">Приоритеты финансирования, сложившиеся в предыдущие годы, сохраняются и в предстоящем бюджетном цикле. Основной удельный вес бюджетных расходов, как и прежде, приходится на раздел «Образование», доля которого составляет 58,4% к общему объему расходов на 2025 год или 463848,9 тыс.рублей ,что на 10,3% больше первоначальной редакцией бюджета на 2024 год 59,5% или 420454,9 тыс.рублей. </w:t>
      </w:r>
    </w:p>
    <w:p w:rsidR="00C138DB" w:rsidRDefault="009A6A63">
      <w:pPr>
        <w:ind w:firstLine="567"/>
        <w:jc w:val="both"/>
      </w:pPr>
      <w:r>
        <w:t xml:space="preserve">Увеличение расходов запланировано по 10 разделам бюджетной классификации </w:t>
      </w:r>
    </w:p>
    <w:p w:rsidR="006A2C1C" w:rsidRDefault="009A6A63">
      <w:pPr>
        <w:ind w:firstLine="567"/>
        <w:jc w:val="both"/>
      </w:pPr>
      <w:r>
        <w:t>из 12:</w:t>
      </w:r>
    </w:p>
    <w:p w:rsidR="006A2C1C" w:rsidRDefault="009A6A63">
      <w:pPr>
        <w:ind w:firstLine="567"/>
        <w:jc w:val="both"/>
      </w:pPr>
      <w:r>
        <w:t>«общегосударственные вопросы» (+7704,9 тыс. рублей или на 9,1%),</w:t>
      </w:r>
      <w:r>
        <w:rPr>
          <w:bCs/>
          <w:color w:val="000000"/>
        </w:rPr>
        <w:t xml:space="preserve"> «Национальная оборона» (+527,2 тыс. рублей или на 34,6%), «Национальная безопасность и правоохранительная деятельность» (+873,9 тыс. рублей или на 20,4%), «Национальная экономика» (+1391,9 тыс. рублей или на 7,3%), «Охрана окружающей среды» (+16197,9 тыс. рублей или более чем в тысячу раз), </w:t>
      </w:r>
      <w:r>
        <w:t>«Образование» (+43394,0 тыс. рублей или на 10,3%), «Культура и кинематография» (+8828,3 тыс. рублей или на 14,7%), «</w:t>
      </w:r>
      <w:r>
        <w:rPr>
          <w:bCs/>
          <w:color w:val="000000"/>
        </w:rPr>
        <w:t>Социальная политика» (+132,8 тыс. рублей или на 1,0%), «Физическая культура и спорт» (+3627,2 тыс. рублей или на 19,8%), «Межбюджетные трансферты» (+5577,8 тыс. рублей или на 9,5%).</w:t>
      </w:r>
    </w:p>
    <w:p w:rsidR="006A2C1C" w:rsidRDefault="009A6A63">
      <w:pPr>
        <w:ind w:firstLine="567"/>
        <w:jc w:val="both"/>
        <w:rPr>
          <w:bCs/>
          <w:color w:val="000000"/>
        </w:rPr>
      </w:pPr>
      <w:r>
        <w:t xml:space="preserve">Сокращение расходов предусмотрено по разделу бюджетной классификации </w:t>
      </w:r>
      <w:r>
        <w:rPr>
          <w:bCs/>
          <w:color w:val="000000"/>
        </w:rPr>
        <w:t>«Жилищно-коммунальное хозяйство» (-739,9 тыс. рублей или на 5,3%).</w:t>
      </w:r>
    </w:p>
    <w:p w:rsidR="006A2C1C" w:rsidRDefault="009A6A63">
      <w:pPr>
        <w:ind w:firstLine="567"/>
        <w:jc w:val="both"/>
      </w:pPr>
      <w:r>
        <w:rPr>
          <w:color w:val="000000"/>
        </w:rPr>
        <w:t>В структуре общего объема расходов районного бюджета значительный удельный вес занимают расходы по разделам: образование, культура, кинематография, социальная политика, физическая культура и спорт, объем которых в совокупности составит в расходах 2025 года – 72,9 % (579280,9 тыс. руб.), 2026 года  -  71,3 % (578306,9  тыс. руб.), 2027 года – 69,9</w:t>
      </w:r>
      <w:r>
        <w:t xml:space="preserve"> % (575324,9 тыс. руб.), что подтверждает социальную направленность расходов районного бюджета.</w:t>
      </w:r>
    </w:p>
    <w:p w:rsidR="006A2C1C" w:rsidRDefault="006A2C1C">
      <w:pPr>
        <w:jc w:val="both"/>
      </w:pPr>
    </w:p>
    <w:p w:rsidR="006A2C1C" w:rsidRDefault="009A6A63">
      <w:pPr>
        <w:ind w:left="-540"/>
        <w:jc w:val="both"/>
      </w:pPr>
      <w:r>
        <w:t xml:space="preserve">         Расходы районного бюджета в соответствии с ведомственной структурой на  2025 год и плановый период 2026 - 2027 годов будут распределены по 7 главным распорядителям бюджетных средств (далее - ГРБС).</w:t>
      </w:r>
    </w:p>
    <w:p w:rsidR="006A2C1C" w:rsidRDefault="006A2C1C">
      <w:pPr>
        <w:jc w:val="both"/>
      </w:pPr>
    </w:p>
    <w:p w:rsidR="00C138DB" w:rsidRDefault="00C138DB">
      <w:pPr>
        <w:jc w:val="both"/>
      </w:pPr>
    </w:p>
    <w:p w:rsidR="00C138DB" w:rsidRDefault="00C138DB">
      <w:pPr>
        <w:jc w:val="both"/>
      </w:pPr>
    </w:p>
    <w:p w:rsidR="00C138DB" w:rsidRDefault="00C138DB">
      <w:pPr>
        <w:jc w:val="both"/>
      </w:pPr>
    </w:p>
    <w:p w:rsidR="00C138DB" w:rsidRDefault="00C138DB">
      <w:pPr>
        <w:jc w:val="both"/>
      </w:pPr>
    </w:p>
    <w:p w:rsidR="00C138DB" w:rsidRDefault="00C138DB">
      <w:pPr>
        <w:jc w:val="both"/>
      </w:pPr>
    </w:p>
    <w:p w:rsidR="00C138DB" w:rsidRDefault="00C138DB">
      <w:pPr>
        <w:jc w:val="both"/>
      </w:pPr>
    </w:p>
    <w:p w:rsidR="006A2C1C" w:rsidRDefault="009A6A63">
      <w:pPr>
        <w:ind w:left="-540" w:firstLine="180"/>
        <w:jc w:val="center"/>
      </w:pPr>
      <w:r>
        <w:lastRenderedPageBreak/>
        <w:t>Распределение расходов районного бюджета на 2025 год и плановый период 2026-2027 годы в разрезе ГРБС представлены в таблице.</w:t>
      </w:r>
    </w:p>
    <w:p w:rsidR="006A2C1C" w:rsidRDefault="009A6A63">
      <w:pPr>
        <w:ind w:left="-540" w:firstLine="180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>
        <w:rPr>
          <w:sz w:val="18"/>
          <w:szCs w:val="18"/>
        </w:rPr>
        <w:t>(тыс. рублей)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708"/>
        <w:gridCol w:w="1134"/>
        <w:gridCol w:w="993"/>
        <w:gridCol w:w="992"/>
        <w:gridCol w:w="992"/>
        <w:gridCol w:w="851"/>
        <w:gridCol w:w="850"/>
      </w:tblGrid>
      <w:tr w:rsidR="006A2C1C" w:rsidTr="006B2FC6">
        <w:trPr>
          <w:trHeight w:val="31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C1C" w:rsidRDefault="009A6A63">
            <w:pPr>
              <w:jc w:val="both"/>
            </w:pPr>
            <w: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auto"/>
            </w:tcBorders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Первоначальные плановые назначения,  на 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назначения</w:t>
            </w:r>
          </w:p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назначения</w:t>
            </w:r>
          </w:p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назначения</w:t>
            </w:r>
          </w:p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Прирост/снижение </w:t>
            </w:r>
          </w:p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к 2024 </w:t>
            </w:r>
          </w:p>
        </w:tc>
      </w:tr>
      <w:tr w:rsidR="006A2C1C" w:rsidTr="006B2FC6">
        <w:trPr>
          <w:trHeight w:val="98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1C" w:rsidRDefault="006A2C1C">
            <w:pPr>
              <w:jc w:val="both"/>
            </w:pPr>
          </w:p>
        </w:tc>
        <w:tc>
          <w:tcPr>
            <w:tcW w:w="3403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6A2C1C" w:rsidTr="006B2FC6">
        <w:trPr>
          <w:trHeight w:val="104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6A2C1C">
            <w:pPr>
              <w:rPr>
                <w:sz w:val="18"/>
                <w:szCs w:val="18"/>
              </w:rPr>
            </w:pPr>
          </w:p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8=5-4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B2FC6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9=5/4*</w:t>
            </w:r>
          </w:p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100-100</w:t>
            </w:r>
          </w:p>
        </w:tc>
      </w:tr>
      <w:tr w:rsidR="006A2C1C" w:rsidTr="006B2FC6">
        <w:trPr>
          <w:trHeight w:val="150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 администрации Партизанского района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426660,0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467207,3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466208,1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463508,4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40547,3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6A2C1C" w:rsidTr="006B2FC6">
        <w:trPr>
          <w:trHeight w:val="150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</w:tr>
      <w:tr w:rsidR="006A2C1C" w:rsidTr="006B2FC6">
        <w:trPr>
          <w:trHeight w:val="70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Партизанского района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99851,6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120576,9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120915,4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121001,1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20725,3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6A2C1C" w:rsidTr="006B2FC6">
        <w:trPr>
          <w:trHeight w:val="70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</w:tr>
      <w:tr w:rsidR="006A2C1C" w:rsidTr="006B2FC6">
        <w:trPr>
          <w:trHeight w:val="155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Партизанского района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83107,2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92127,3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89451,0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87194,0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9020,1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</w:tr>
      <w:tr w:rsidR="006A2C1C" w:rsidTr="006B2FC6">
        <w:trPr>
          <w:trHeight w:val="155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молодежи и спорта администрации Партизанского района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90033,9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104783,6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104781,9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104661,0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14749,7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управлению имуществом Партизанского района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5438,8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Контрольно-ревизионная комиссия Партизанского района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Партизанский районный Совет депутатов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1972,1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1972,1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1972,1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% к общему объему расходов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</w:tr>
      <w:tr w:rsidR="006A2C1C" w:rsidTr="006B2FC6">
        <w:trPr>
          <w:trHeight w:val="69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20283,0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41359,7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2C1C" w:rsidTr="006B2FC6">
        <w:trPr>
          <w:trHeight w:val="6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A2C1C" w:rsidRDefault="006A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706845,5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794376,8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811321,1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827194,5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87531,3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C1C" w:rsidRDefault="009A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</w:tr>
    </w:tbl>
    <w:p w:rsidR="006A2C1C" w:rsidRDefault="006A2C1C">
      <w:pPr>
        <w:ind w:firstLine="284"/>
        <w:jc w:val="both"/>
        <w:rPr>
          <w:sz w:val="28"/>
          <w:szCs w:val="28"/>
          <w:highlight w:val="yellow"/>
        </w:rPr>
      </w:pPr>
    </w:p>
    <w:p w:rsidR="006A2C1C" w:rsidRDefault="009A6A63">
      <w:pPr>
        <w:ind w:firstLine="567"/>
        <w:jc w:val="both"/>
      </w:pPr>
      <w:r>
        <w:t xml:space="preserve">Ведомственной структурой расходов районного бюджета на 2025 год наибольший объем бюджетных ассигнований предусмотрен по отделу образования администрации Партизанского района (58,8% общего объема бюджетных ассигнований). </w:t>
      </w:r>
    </w:p>
    <w:p w:rsidR="006A2C1C" w:rsidRDefault="009A6A63">
      <w:pPr>
        <w:ind w:firstLine="567"/>
        <w:jc w:val="both"/>
      </w:pPr>
      <w:r>
        <w:t xml:space="preserve">Увеличение расходов в абсолютном выражении предусматривается по администрации Партизанского района (+20725,3 тыс. рублей, или на 20,8%), финансовому управлению администрации Партизанского района (+9020,1 тыс. рублей, или на 10,8%), отделу культуры, молодежи и спорта администрации Партизанского района (+14749,7 тыс. рублей, или на 16,4%),отделу образования администрации Партизанского района (+40547,3 тыс. рублей, или на 9,5%), контрольно-ревизионной комиссии Партизанского района (+150,0 тыс. рублей, или на 8,5%), комитету по управлению имуществом Партизанского района (+366,8 тыс. рублей, или на 6,7%) . </w:t>
      </w:r>
    </w:p>
    <w:p w:rsidR="006A2C1C" w:rsidRDefault="009A6A6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2C1C" w:rsidRDefault="009A6A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 формирования районного бюджета  на 2025-2027 годы</w:t>
      </w:r>
    </w:p>
    <w:p w:rsidR="006A2C1C" w:rsidRDefault="009A6A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программном формате</w:t>
      </w:r>
    </w:p>
    <w:p w:rsidR="006A2C1C" w:rsidRDefault="009A6A63">
      <w:pPr>
        <w:ind w:firstLine="567"/>
        <w:jc w:val="both"/>
        <w:rPr>
          <w:b/>
          <w:bCs/>
        </w:rPr>
      </w:pPr>
      <w:r>
        <w:rPr>
          <w:bCs/>
        </w:rPr>
        <w:t>Анализ формирования районного бюджета в программном формате осуществлён исходя из проекта решения, пояснительной записки, представленных одновременно с проектом решения паспортов муниципальных программ района.</w:t>
      </w:r>
    </w:p>
    <w:p w:rsidR="006A2C1C" w:rsidRDefault="009A6A63">
      <w:pPr>
        <w:pStyle w:val="Default"/>
        <w:ind w:firstLine="567"/>
        <w:jc w:val="both"/>
      </w:pPr>
      <w:r>
        <w:t xml:space="preserve">С целью совершенствования программно-целевых методов управления, формирование и утверждение муниципальных  программ осуществлялось с учетом  подходов, установленных постановлением главы Партизанского района от 22.07.2013 № 451-п «Об утверждении Порядка принятия решений о разработке муниципальных программ Партизанского района» (далее - Порядок № 451-п). </w:t>
      </w:r>
    </w:p>
    <w:p w:rsidR="006A2C1C" w:rsidRDefault="009A6A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В соответствии с проектом решения о бюджете </w:t>
      </w:r>
      <w:r>
        <w:rPr>
          <w:bCs/>
          <w:color w:val="auto"/>
        </w:rPr>
        <w:t xml:space="preserve">расходы </w:t>
      </w:r>
      <w:r>
        <w:rPr>
          <w:color w:val="auto"/>
        </w:rPr>
        <w:t xml:space="preserve">районного бюджета </w:t>
      </w:r>
      <w:r>
        <w:rPr>
          <w:bCs/>
          <w:color w:val="auto"/>
        </w:rPr>
        <w:t xml:space="preserve">на реализацию 9 муниципальных программ на 2025 год </w:t>
      </w:r>
      <w:r>
        <w:rPr>
          <w:color w:val="auto"/>
        </w:rPr>
        <w:t xml:space="preserve">планируются в объеме </w:t>
      </w:r>
      <w:r>
        <w:rPr>
          <w:bCs/>
          <w:color w:val="auto"/>
        </w:rPr>
        <w:t xml:space="preserve">734399,4 тыс.рублей, </w:t>
      </w:r>
      <w:r>
        <w:rPr>
          <w:color w:val="auto"/>
        </w:rPr>
        <w:t xml:space="preserve">на 2026 год - 730675,7 тыс.рублей, на 2027 год - 727826,5 тыс.рублей, или 92,4%, 90,0% и 88,0% от общего объема расходов бюджета соответственно. </w:t>
      </w:r>
    </w:p>
    <w:p w:rsidR="006A2C1C" w:rsidRDefault="009A6A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Перечень муниципальных программ, предусмотренный проектом решения, соответствует перечню, утвержденному постановлением главы Партизанского района от 24.10.2016 № 340-п (в редакции постановления от 22.11.2024 № 721-п).</w:t>
      </w:r>
    </w:p>
    <w:p w:rsidR="006A2C1C" w:rsidRDefault="009A6A63">
      <w:pPr>
        <w:pStyle w:val="Default"/>
        <w:ind w:firstLine="567"/>
        <w:jc w:val="both"/>
      </w:pPr>
      <w:r>
        <w:t>Информация об объеме бюджетных ассигнований на финансовое обеспечение реализации муниципальных программ в 2025–2027 годах приведена в таблице.</w:t>
      </w:r>
    </w:p>
    <w:p w:rsidR="006A2C1C" w:rsidRDefault="006A2C1C">
      <w:pPr>
        <w:rPr>
          <w:b/>
        </w:rPr>
      </w:pPr>
    </w:p>
    <w:p w:rsidR="006A2C1C" w:rsidRDefault="009A6A63">
      <w:pPr>
        <w:jc w:val="center"/>
        <w:rPr>
          <w:color w:val="FF0000"/>
        </w:rPr>
      </w:pPr>
      <w:r>
        <w:rPr>
          <w:bCs/>
        </w:rPr>
        <w:t>Анализ формирования районного бюджета в 2025 году и плановом периоде 2026-2027 годов в программном формате</w:t>
      </w:r>
    </w:p>
    <w:p w:rsidR="006A2C1C" w:rsidRDefault="006A2C1C">
      <w:pPr>
        <w:rPr>
          <w:b/>
          <w:sz w:val="28"/>
          <w:szCs w:val="28"/>
        </w:rPr>
      </w:pP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730"/>
        <w:gridCol w:w="1244"/>
        <w:gridCol w:w="830"/>
        <w:gridCol w:w="1106"/>
        <w:gridCol w:w="829"/>
        <w:gridCol w:w="1187"/>
        <w:gridCol w:w="992"/>
      </w:tblGrid>
      <w:tr w:rsidR="006A2C1C" w:rsidTr="006B2FC6">
        <w:trPr>
          <w:trHeight w:val="79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на 2025 год тыс.руб.</w:t>
            </w:r>
          </w:p>
        </w:tc>
        <w:tc>
          <w:tcPr>
            <w:tcW w:w="8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Уд.вес, %</w:t>
            </w:r>
          </w:p>
        </w:tc>
        <w:tc>
          <w:tcPr>
            <w:tcW w:w="110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на 2026 год тыс.руб.</w:t>
            </w:r>
          </w:p>
        </w:tc>
        <w:tc>
          <w:tcPr>
            <w:tcW w:w="8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Уд.вес, %</w:t>
            </w:r>
          </w:p>
        </w:tc>
        <w:tc>
          <w:tcPr>
            <w:tcW w:w="11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на 2027 год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Уд.вес, %</w:t>
            </w:r>
          </w:p>
        </w:tc>
      </w:tr>
      <w:tr w:rsidR="006A2C1C" w:rsidTr="006B2FC6">
        <w:trPr>
          <w:trHeight w:val="31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471645,4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470646,2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467735,1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6A2C1C" w:rsidTr="006B2FC6">
        <w:trPr>
          <w:trHeight w:val="719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чрезвычайных ситуаций природного и техногенного характера и обеспечения безопасности населения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5170,8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5170,8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5170,8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6A2C1C" w:rsidTr="006B2FC6">
        <w:trPr>
          <w:trHeight w:val="589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культуры, спорта и молодежной политики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104783,6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104781,9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104661,0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6A2C1C" w:rsidTr="006B2FC6">
        <w:trPr>
          <w:trHeight w:val="479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субъектов малого и среднего предпринимательства на территории района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2C1C" w:rsidTr="006B2FC6">
        <w:trPr>
          <w:trHeight w:val="299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сельского хозяйства 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4148,3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4148,3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4148,3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6A2C1C" w:rsidTr="006B2FC6">
        <w:trPr>
          <w:trHeight w:val="283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муниципальной собственностью 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1367,5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1367,5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A2C1C" w:rsidTr="006B2FC6">
        <w:trPr>
          <w:trHeight w:val="287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муниципальными финансами 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76100,7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73125,2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73125,2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A2C1C" w:rsidTr="006B2FC6">
        <w:trPr>
          <w:trHeight w:val="359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молодых семей  в Партизанском районе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307,4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</w:t>
            </w:r>
          </w:p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A2C1C" w:rsidTr="006B2FC6">
        <w:trPr>
          <w:trHeight w:val="344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жизнедеятельности Партизанского района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6A2C1C">
            <w:pPr>
              <w:jc w:val="center"/>
              <w:rPr>
                <w:sz w:val="20"/>
                <w:szCs w:val="20"/>
              </w:rPr>
            </w:pPr>
          </w:p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70775,7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70951,5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1C" w:rsidRDefault="009A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71134,3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</w:t>
            </w:r>
          </w:p>
        </w:tc>
      </w:tr>
      <w:tr w:rsidR="006A2C1C" w:rsidTr="006B2FC6">
        <w:trPr>
          <w:trHeight w:val="299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A2C1C" w:rsidRDefault="009A6A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734399,4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730675,7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727826,5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A2C1C" w:rsidTr="006B2FC6">
        <w:trPr>
          <w:trHeight w:val="246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59977,4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60362,4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58008,3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2C1C" w:rsidTr="006B2FC6">
        <w:trPr>
          <w:trHeight w:val="281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20283,0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41359,7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2C1C" w:rsidTr="006B2FC6">
        <w:trPr>
          <w:trHeight w:val="158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794376,8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811321,1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827194,5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2C1C" w:rsidTr="006B2FC6">
        <w:trPr>
          <w:trHeight w:val="359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программных мероприятий в общем объеме расходов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2C1C" w:rsidTr="006B2FC6">
        <w:trPr>
          <w:trHeight w:val="494"/>
        </w:trPr>
        <w:tc>
          <w:tcPr>
            <w:tcW w:w="3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непрограммных мероприятий в общем объеме расходов</w:t>
            </w:r>
          </w:p>
        </w:tc>
        <w:tc>
          <w:tcPr>
            <w:tcW w:w="12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6A2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C1C" w:rsidRDefault="009A6A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A2C1C" w:rsidRDefault="009A6A63">
      <w:pPr>
        <w:shd w:val="clear" w:color="auto" w:fill="FFFFFF"/>
        <w:ind w:firstLine="567"/>
        <w:jc w:val="both"/>
      </w:pPr>
      <w:r>
        <w:rPr>
          <w:b/>
        </w:rPr>
        <w:t xml:space="preserve"> </w:t>
      </w:r>
      <w:r>
        <w:t>Данные, приведённые в таблице, свидетельствуют о программно-целевой направленности планирования бюджета.</w:t>
      </w:r>
    </w:p>
    <w:p w:rsidR="006A2C1C" w:rsidRDefault="009A6A63">
      <w:pPr>
        <w:ind w:firstLine="567"/>
        <w:jc w:val="both"/>
      </w:pPr>
      <w:r>
        <w:t xml:space="preserve"> Согласно проекта бюджета в 2025 году, самыми объемными по финансированию   являются следующие муниципальные программы: «Развитие образования» - 471645,4 тыс. руб. (64,2% от общей суммы финансирования МП), «Развитие культуры, спорта и молодежной политики» - 104783,6 тыс. руб. (14,2% от общей суммы финансирования МП), «Управление муниципальными финансами» - 76100,7 тыс. руб. (10,4% от общей суммы финансирования МП), «Обеспечение жизнедеятельности Партизанского района» - 70775,7 тыс. руб. (9,6% от общей суммы финансирования МП).</w:t>
      </w:r>
    </w:p>
    <w:p w:rsidR="006A2C1C" w:rsidRDefault="009A6A63">
      <w:pPr>
        <w:ind w:firstLine="567"/>
        <w:jc w:val="both"/>
      </w:pPr>
      <w:r>
        <w:lastRenderedPageBreak/>
        <w:t>Показатели финансового обеспечения муниципальных программ на 2025–2027 годы, предусмотренные паспортами, соответствуют бюджетным ассигнованиям, предусмотренным в Проекте решения о бюджете.</w:t>
      </w:r>
    </w:p>
    <w:p w:rsidR="006A2C1C" w:rsidRDefault="009A6A63">
      <w:pPr>
        <w:ind w:firstLine="567"/>
        <w:jc w:val="both"/>
      </w:pPr>
      <w:r>
        <w:t>На предстоящий бюджетный цикл объемы бюджетных ассигнований корректируются по всем 9 муниципальным программам.</w:t>
      </w:r>
    </w:p>
    <w:p w:rsidR="006A2C1C" w:rsidRDefault="009A6A63">
      <w:pPr>
        <w:pStyle w:val="a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анализа формирования расходов бюджета на реализацию муниципальных программ и результатов экспертизы проектов муниципальных программ, представленных в Контрольно-ревизионную комиссию, при планировании районного бюджета на 2025 год и плановый период 2026-2027 годов, установлено </w:t>
      </w:r>
      <w:r>
        <w:rPr>
          <w:rFonts w:ascii="Times New Roman" w:hAnsi="Times New Roman"/>
          <w:b/>
          <w:sz w:val="24"/>
          <w:szCs w:val="24"/>
        </w:rPr>
        <w:t>не соблюдение</w:t>
      </w:r>
      <w:r>
        <w:rPr>
          <w:rFonts w:ascii="Times New Roman" w:hAnsi="Times New Roman"/>
          <w:sz w:val="24"/>
          <w:szCs w:val="24"/>
        </w:rPr>
        <w:t xml:space="preserve"> отдельными разработчиками муниципальных программ требований установленных Порядком принятия решений о разработке муниципальных программ Партизанского района, их формировании и реализации, утвержденных постановлением главы Партизанского района от 22.07.2013 № 451-п «Об утверждении   Порядка принятия решений о разработке муниципальных программ Партизанского района, их формирования и реализации» (далее-Порядок № 451-п), а именно:</w:t>
      </w:r>
    </w:p>
    <w:p w:rsidR="006A2C1C" w:rsidRDefault="009A6A63">
      <w:pPr>
        <w:ind w:firstLine="567"/>
        <w:jc w:val="both"/>
      </w:pPr>
      <w:r>
        <w:t>структура муниципальных программ и подпрограмм муниципальных программ не соответствует макету, предусмотренному Порядком № 451-п;</w:t>
      </w:r>
    </w:p>
    <w:p w:rsidR="006A2C1C" w:rsidRDefault="009A6A63">
      <w:pPr>
        <w:ind w:firstLine="567"/>
        <w:jc w:val="both"/>
      </w:pPr>
      <w:r>
        <w:t>отдельные целевые показатели не прозрачны, не имеют конкретного значения, не обеспечивают возможности их проверки и подтверждения, тем самым снижается объективность оценки результативности муниципальных программ и не позволения оценить эффективность использования бюджетных ассигнований, направляемых на реализацию мероприятий муниципальных программ;</w:t>
      </w:r>
    </w:p>
    <w:p w:rsidR="006A2C1C" w:rsidRDefault="009A6A63">
      <w:pPr>
        <w:ind w:firstLine="567"/>
        <w:jc w:val="both"/>
      </w:pPr>
      <w:r>
        <w:t>отсутствуют ожидаемые результаты от реализации подпрограмм с указанием динамики изменения показателей результативности.</w:t>
      </w:r>
    </w:p>
    <w:p w:rsidR="006A2C1C" w:rsidRDefault="009A6A63">
      <w:pPr>
        <w:ind w:firstLine="567"/>
        <w:jc w:val="both"/>
      </w:pPr>
      <w:r>
        <w:t xml:space="preserve">Все Постановления главы Партизанского района, предусматривающие изменения в действующие программы в части изменения бюджетных ассигнований при планировании районного бюджета на очередной финансовый год и плановый период, утверждены 30.10.2024 г, п.3.10 порядка не нарушен.  </w:t>
      </w:r>
    </w:p>
    <w:p w:rsidR="006A2C1C" w:rsidRDefault="009A6A63">
      <w:pPr>
        <w:ind w:firstLine="567"/>
        <w:jc w:val="both"/>
      </w:pPr>
      <w:r>
        <w:t xml:space="preserve">Непрограммные расходы на 2025-2027 годы планируются в объеме 178348,1 тыс. рублей, из них на 2025 год - 59977,4 тыс. рублей, </w:t>
      </w:r>
      <w:r>
        <w:rPr>
          <w:bCs/>
        </w:rPr>
        <w:t>в 2026 году - 60362,4 тыс. рублей,</w:t>
      </w:r>
      <w:r>
        <w:t xml:space="preserve"> в </w:t>
      </w:r>
      <w:r>
        <w:rPr>
          <w:bCs/>
        </w:rPr>
        <w:t>2027 году - 58008,3 тыс. рублей</w:t>
      </w:r>
      <w:r>
        <w:t>.</w:t>
      </w:r>
    </w:p>
    <w:p w:rsidR="006A2C1C" w:rsidRDefault="009A6A6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проекте решения непрограммные расходы бюджета по разделу </w:t>
      </w:r>
      <w:r>
        <w:rPr>
          <w:b/>
          <w:color w:val="000000"/>
        </w:rPr>
        <w:t>0100 "Общегосударственные вопросы"</w:t>
      </w:r>
      <w:r>
        <w:rPr>
          <w:color w:val="000000"/>
        </w:rPr>
        <w:t xml:space="preserve"> предусмотрены на 2025 год в размере 55283,6 тыс. рублей и плановый период 2026-2027 год в размере 55461,9 тыс. рублей соответственно. </w:t>
      </w:r>
    </w:p>
    <w:p w:rsidR="006A2C1C" w:rsidRDefault="009A6A63">
      <w:pPr>
        <w:ind w:firstLine="567"/>
        <w:jc w:val="both"/>
      </w:pPr>
      <w:r>
        <w:rPr>
          <w:color w:val="000000"/>
        </w:rPr>
        <w:t xml:space="preserve"> В структуре раздела в 2025-2027 годах расходы, связанные с функционированием высшего должностного лица муниципального образования составляют по 2265,4 тыс. рублей, или 4,1% ежегодно (денежное содержание главы района); с функционированием законодательных (представительных) органов государственной власти и представительных органов муниципального образования составляют по 1972,1 тыс. рублей, или 3,6% ежегодно (</w:t>
      </w:r>
      <w:r>
        <w:t>в общей сумме расходов предусмотрены средства на обеспечение деятельности председателя Совета депутатов и возмещение расходов депутатам, связанных с осуществлением депутатской деятельности.), с функционированием местных администраций в 2025 году 42354,3 тыс. рублей, в 2026-2027 годов по 42354,0 тыс.рублей соответственно, или 76,6% в 2025 году а в 2026-2027 годах по 76,4 % ежегодно.</w:t>
      </w:r>
    </w:p>
    <w:p w:rsidR="006A2C1C" w:rsidRDefault="009A6A63">
      <w:pPr>
        <w:ind w:firstLine="567"/>
        <w:jc w:val="both"/>
      </w:pPr>
      <w:r>
        <w:t>В том числе расходы направлены:</w:t>
      </w:r>
    </w:p>
    <w:p w:rsidR="006A2C1C" w:rsidRDefault="009A6A63">
      <w:pPr>
        <w:ind w:firstLine="567"/>
        <w:jc w:val="both"/>
      </w:pPr>
      <w:r>
        <w:t>- на денежное содержание аппарата администрации района за счет средств районного бюджета на 2025-2027 годы в общей  сумме 123135,4 тыс. рублей,в том числе: в 2025 году в сумме 41045,2 тыс.рублей, в плановом периоде 2026-2027 годов по 41045,1 тыс. рублей ежегодно;</w:t>
      </w:r>
    </w:p>
    <w:p w:rsidR="006A2C1C" w:rsidRDefault="009A6A63">
      <w:pPr>
        <w:pStyle w:val="1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содержание комиссии по делам несовершеннолетних в соответствии с Законом края от 26 декабря 2006 года № 21-5589 «О наделении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за счет средств краевого бюджета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2025- 2027 годах в общей сумме 2994,3 тыс. рублей по 998,1 тыс. рублей ежегодно;</w:t>
      </w:r>
    </w:p>
    <w:p w:rsidR="006A2C1C" w:rsidRDefault="009A6A63">
      <w:pPr>
        <w:ind w:firstLine="567"/>
        <w:jc w:val="both"/>
        <w:rPr>
          <w:rFonts w:eastAsia="Arial" w:cs="Arial"/>
        </w:rPr>
      </w:pPr>
      <w:r>
        <w:rPr>
          <w:rFonts w:eastAsia="Arial" w:cs="Arial"/>
        </w:rPr>
        <w:t xml:space="preserve"> - на осуществление государственных полномочий в области архивного дела в соответствии с Законом края  от 21.12.2010 № 11-5564 «О наделении органов местного самоуправления государственными полномочиями в области архивного дела»  </w:t>
      </w:r>
      <w:r>
        <w:t xml:space="preserve">на 2025 год и  плановый период 2026 - 2027 годов за счет средств краевого бюджета </w:t>
      </w:r>
      <w:r>
        <w:rPr>
          <w:rFonts w:eastAsia="Arial" w:cs="Arial"/>
        </w:rPr>
        <w:t>в сумме 415,2 тыс. рублей, в том числе по 138,4 тыс. рублей ежегодно;</w:t>
      </w:r>
    </w:p>
    <w:p w:rsidR="006A2C1C" w:rsidRDefault="009A6A63">
      <w:pPr>
        <w:ind w:firstLine="567"/>
        <w:jc w:val="both"/>
      </w:pPr>
      <w:r>
        <w:rPr>
          <w:rFonts w:eastAsia="Arial" w:cs="Arial"/>
        </w:rPr>
        <w:t xml:space="preserve"> - на осуществление государственных полномочий по уведомлению регистрации коллективных договоров в соответствии с </w:t>
      </w:r>
      <w:r>
        <w:t>Законом края от 30.01.2014 № 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 территориальных соглашений и контроля за их выполнением» за счет средств краевого бюджета</w:t>
      </w:r>
      <w:r>
        <w:rPr>
          <w:rFonts w:eastAsia="Arial" w:cs="Arial"/>
        </w:rPr>
        <w:t xml:space="preserve"> </w:t>
      </w:r>
      <w:r>
        <w:t xml:space="preserve">на 2025 год и  плановый период 2026 - 2027 годов </w:t>
      </w:r>
      <w:r>
        <w:rPr>
          <w:rFonts w:eastAsia="Arial" w:cs="Arial"/>
        </w:rPr>
        <w:t>в сумме 202,2 тыс. рублей, в том числе по 67,4 тыс. рублей ежегодно;</w:t>
      </w:r>
      <w:r>
        <w:t xml:space="preserve"> </w:t>
      </w:r>
    </w:p>
    <w:p w:rsidR="006A2C1C" w:rsidRDefault="009A6A63">
      <w:pPr>
        <w:ind w:firstLine="567"/>
        <w:jc w:val="both"/>
      </w:pPr>
      <w:r>
        <w:rPr>
          <w:rFonts w:eastAsia="Arial" w:cs="Arial"/>
        </w:rPr>
        <w:t>-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соответствии с Законом края от 24 декабря 2009 года № 9-4225</w:t>
      </w:r>
      <w:r>
        <w:t xml:space="preserve"> в сумме  315,2 тыс. рублей, в том числе: в 2025 году в сумме 105,2 тыс. рублей, в плановом периоде 2026-2027 годов по 105,0 тыс. рублей ежегодно.</w:t>
      </w:r>
    </w:p>
    <w:p w:rsidR="006A2C1C" w:rsidRDefault="009A6A63">
      <w:pPr>
        <w:ind w:firstLine="567"/>
        <w:jc w:val="both"/>
      </w:pPr>
      <w:r>
        <w:t xml:space="preserve">- предусматриваются ассигнования на осуществление полномочий по составлению (изменению) списков кандидатов в присяжные заседатели федеральных судов общей юрисдикции в Российской Федерации за счет средств, предоставляемых из федерального бюджета в общей сумме 108,1 тыс. рублей, в том числе: в 2025 году в сумме 11,0 тыс. рублей, в 2026 году – 97,1 тыс. рублей; </w:t>
      </w:r>
    </w:p>
    <w:p w:rsidR="006A2C1C" w:rsidRDefault="009A6A63">
      <w:pPr>
        <w:ind w:firstLine="567"/>
        <w:jc w:val="both"/>
      </w:pPr>
      <w:r>
        <w:t>- предусмотрены средства на обеспечение деятельности Контрольно-ревизионной комиссии Партизанского района на 2025-2027 годы в сумме 5712,0 тыс.рублей, в том числе по 1904,0 тыс.рублей ежегодно;</w:t>
      </w:r>
    </w:p>
    <w:p w:rsidR="006A2C1C" w:rsidRDefault="009A6A63">
      <w:pPr>
        <w:ind w:firstLine="567"/>
        <w:jc w:val="both"/>
        <w:rPr>
          <w:b/>
        </w:rPr>
      </w:pPr>
      <w:r>
        <w:t>- предусматривается резервный фонд администрации района на 2025 год и плановый период 2026-2027 годов в сумме 1000,0 тыс.рублей - по 1000,0 тыс. рублей ежегодно.</w:t>
      </w:r>
      <w:r>
        <w:rPr>
          <w:b/>
        </w:rPr>
        <w:t xml:space="preserve"> </w:t>
      </w:r>
    </w:p>
    <w:p w:rsidR="006A2C1C" w:rsidRDefault="009A6A63">
      <w:pPr>
        <w:ind w:firstLine="567"/>
        <w:jc w:val="both"/>
      </w:pPr>
      <w:r>
        <w:t xml:space="preserve">    Другие общегосударственные вопросы  - на 2025 год в сумме 5777,0 рублей, в плановом периоде 2026-2027 годов по 5869,3 тыс.рублей ежегодно, данные ассигнования будут направлены:</w:t>
      </w:r>
    </w:p>
    <w:p w:rsidR="006A2C1C" w:rsidRDefault="009A6A63">
      <w:pPr>
        <w:tabs>
          <w:tab w:val="left" w:pos="1134"/>
        </w:tabs>
        <w:ind w:firstLine="567"/>
        <w:jc w:val="both"/>
      </w:pPr>
      <w:r>
        <w:t xml:space="preserve">по главному распорядителю бюджетных средств – </w:t>
      </w:r>
      <w:r>
        <w:rPr>
          <w:i/>
          <w:iCs/>
        </w:rPr>
        <w:t>Администрация Партизанского района</w:t>
      </w:r>
      <w:r>
        <w:rPr>
          <w:i/>
        </w:rPr>
        <w:t xml:space="preserve"> </w:t>
      </w:r>
      <w:r>
        <w:t>– в общей сумме 10 618,5 тыс. рублей, в том числе на 2025 год и  плановый период 2026 - 2027 годов по 3 539,5 тыс. рублей ежегодно, из них:</w:t>
      </w:r>
    </w:p>
    <w:p w:rsidR="006A2C1C" w:rsidRDefault="009A6A63">
      <w:pPr>
        <w:tabs>
          <w:tab w:val="left" w:pos="741"/>
        </w:tabs>
        <w:ind w:firstLine="567"/>
        <w:jc w:val="both"/>
      </w:pPr>
      <w:r>
        <w:t xml:space="preserve"> - на осуществление мер по противодействию коррупции в границах     Партизанского района за счет средств районного бюджета в общей сумме 9,0 тыс. рублей по 3,0 тыс. рублей ежегодно</w:t>
      </w:r>
    </w:p>
    <w:p w:rsidR="006A2C1C" w:rsidRDefault="009A6A63">
      <w:pPr>
        <w:tabs>
          <w:tab w:val="left" w:pos="741"/>
        </w:tabs>
        <w:ind w:firstLine="567"/>
        <w:jc w:val="both"/>
      </w:pPr>
      <w:r>
        <w:t xml:space="preserve"> - на обеспечение деятельности централизованной бухгалтерии по ведению бюджетного учета поселений Партизанского района за счет средств районного бюджета в общей сумме 10 557,9 тыс. рублей по 3 519,3 тыс. рублей ежегодно;</w:t>
      </w:r>
    </w:p>
    <w:p w:rsidR="006A2C1C" w:rsidRDefault="009A6A63">
      <w:pPr>
        <w:tabs>
          <w:tab w:val="left" w:pos="741"/>
        </w:tabs>
        <w:ind w:firstLine="567"/>
        <w:jc w:val="both"/>
      </w:pPr>
      <w:r>
        <w:t xml:space="preserve"> -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Закона края от 8 июля 2021 года № 11-5284) </w:t>
      </w:r>
      <w:r>
        <w:rPr>
          <w:bCs/>
        </w:rPr>
        <w:t xml:space="preserve">за счет средств краевого бюджета предусмотрено </w:t>
      </w:r>
      <w:r>
        <w:t>в 2025- 2027 годах в общей сумме 51,6 тыс. рублей по 17,2 тыс. рублей ежегодно.</w:t>
      </w:r>
    </w:p>
    <w:p w:rsidR="006A2C1C" w:rsidRDefault="009A6A63">
      <w:pPr>
        <w:ind w:firstLine="567"/>
        <w:jc w:val="both"/>
      </w:pPr>
      <w:r>
        <w:t xml:space="preserve">по главному распорядителю бюджетных средств - </w:t>
      </w:r>
      <w:r>
        <w:rPr>
          <w:i/>
          <w:iCs/>
        </w:rPr>
        <w:t>Финансовое управление администрации Партизанского района Красноярского края</w:t>
      </w:r>
      <w:r>
        <w:t xml:space="preserve"> –   на 2025-2027 годы в общей </w:t>
      </w:r>
      <w:r>
        <w:lastRenderedPageBreak/>
        <w:t>сумме 6 897.1 тыс. рублей, в том числе: в 2025 году в сумме 2 237,5 тыс. рублей, в плановом периоде 2026-2027 годов по 2 329.8 тыс. рублей ежегодно.</w:t>
      </w:r>
    </w:p>
    <w:p w:rsidR="006A2C1C" w:rsidRDefault="009A6A63">
      <w:pPr>
        <w:tabs>
          <w:tab w:val="left" w:pos="36"/>
        </w:tabs>
        <w:jc w:val="both"/>
      </w:pPr>
      <w:r>
        <w:t xml:space="preserve">        - </w:t>
      </w:r>
      <w:r>
        <w:rPr>
          <w:bCs/>
        </w:rPr>
        <w:t xml:space="preserve">на реализацию Закона Красноярского края от 23 апреля 2009 года 8-3170 «О наделении органов местного самоуправления муниципальных   образований края государственными полномочиями по созданию и обеспечению деятельности административных комиссий» за счет средств краевого бюджета предусмотрено </w:t>
      </w:r>
      <w:r>
        <w:t>в 2025- 2027 годах в общей сумме 175,2 тыс. рублей по 58,4 тыс. рублей ежегодно.</w:t>
      </w:r>
    </w:p>
    <w:p w:rsidR="006A2C1C" w:rsidRDefault="009A6A63">
      <w:pPr>
        <w:ind w:firstLine="567"/>
        <w:jc w:val="both"/>
      </w:pPr>
      <w:r>
        <w:t xml:space="preserve">- на софинансирование по государственным программам в рамках         непрограммных расходов Финансового управления администрации Партизанского района за счет средств районного бюджета </w:t>
      </w:r>
      <w:r>
        <w:rPr>
          <w:bCs/>
        </w:rPr>
        <w:t xml:space="preserve">предусмотрено </w:t>
      </w:r>
      <w:r>
        <w:t>на 2025-2027 годы в общей сумме 6</w:t>
      </w:r>
      <w:r>
        <w:rPr>
          <w:lang w:val="en-US"/>
        </w:rPr>
        <w:t> </w:t>
      </w:r>
      <w:r>
        <w:t>721.9 тыс. рублей, в том числе: в 2025 году в сумме 2 179,1 тыс. рублей, в плановом периоде 2026-2027 годов по 2 271.4 тыс. рублей ежегодно.</w:t>
      </w:r>
    </w:p>
    <w:p w:rsidR="006A2C1C" w:rsidRDefault="009A6A6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Расходы бюджета по разделу </w:t>
      </w:r>
      <w:r>
        <w:rPr>
          <w:b/>
          <w:color w:val="000000"/>
        </w:rPr>
        <w:t>0200 "Национальная оборона"</w:t>
      </w:r>
      <w:r>
        <w:rPr>
          <w:color w:val="000000"/>
        </w:rPr>
        <w:t xml:space="preserve"> предусмотрены на 2025 год в размере 2050,1 тыс. рублей, на 2026 год 2257,0 тыс. рублей. </w:t>
      </w:r>
    </w:p>
    <w:p w:rsidR="006A2C1C" w:rsidRDefault="009A6A63">
      <w:pPr>
        <w:ind w:firstLine="567"/>
        <w:jc w:val="both"/>
        <w:rPr>
          <w:color w:val="000000"/>
        </w:rPr>
      </w:pPr>
      <w:r>
        <w:rPr>
          <w:color w:val="000000"/>
        </w:rPr>
        <w:t>По данному подразделу предусматривается ассигнования на осуществление полномочий по осуществлению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службе».</w:t>
      </w:r>
    </w:p>
    <w:p w:rsidR="006A2C1C" w:rsidRDefault="009A6A63">
      <w:pPr>
        <w:tabs>
          <w:tab w:val="left" w:pos="709"/>
        </w:tabs>
        <w:ind w:firstLine="567"/>
        <w:jc w:val="both"/>
        <w:rPr>
          <w:rFonts w:eastAsia="Arial" w:cs="Arial"/>
        </w:rPr>
      </w:pPr>
      <w:r>
        <w:t>Расходы бюджета по разделу 060</w:t>
      </w:r>
      <w:r>
        <w:rPr>
          <w:b/>
        </w:rPr>
        <w:t xml:space="preserve">0 «Охрана окружающей среды» </w:t>
      </w:r>
      <w:r>
        <w:rPr>
          <w:iCs/>
        </w:rPr>
        <w:t xml:space="preserve">на 2025-2027 годы </w:t>
      </w:r>
      <w:r>
        <w:t>предусматриваются средства краевого бюджета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 за счет средств краевого бюджета</w:t>
      </w:r>
      <w:r>
        <w:rPr>
          <w:rFonts w:eastAsia="Arial" w:cs="Arial"/>
        </w:rPr>
        <w:t xml:space="preserve"> </w:t>
      </w:r>
      <w:r>
        <w:t xml:space="preserve">на 2025 год и  плановый период 2026 - 2027 годов </w:t>
      </w:r>
      <w:r>
        <w:rPr>
          <w:rFonts w:eastAsia="Arial" w:cs="Arial"/>
        </w:rPr>
        <w:t>в сумме 297,0 тыс. рублей, в том числе по 99,0 тыс. рублей ежегодно.</w:t>
      </w:r>
    </w:p>
    <w:p w:rsidR="006A2C1C" w:rsidRDefault="009A6A63" w:rsidP="00AA5855">
      <w:pPr>
        <w:jc w:val="both"/>
        <w:rPr>
          <w:color w:val="000000"/>
        </w:rPr>
      </w:pPr>
      <w:r>
        <w:rPr>
          <w:bCs/>
          <w:color w:val="000000"/>
        </w:rPr>
        <w:t xml:space="preserve">По разделу </w:t>
      </w:r>
      <w:r>
        <w:rPr>
          <w:b/>
          <w:bCs/>
          <w:color w:val="000000"/>
        </w:rPr>
        <w:t>1000 «Социальная политика»</w:t>
      </w:r>
      <w:r>
        <w:rPr>
          <w:color w:val="000000"/>
        </w:rPr>
        <w:t xml:space="preserve"> </w:t>
      </w:r>
      <w:r>
        <w:rPr>
          <w:iCs/>
          <w:color w:val="000000"/>
        </w:rPr>
        <w:t>-</w:t>
      </w:r>
      <w:r>
        <w:rPr>
          <w:color w:val="000000"/>
        </w:rPr>
        <w:t xml:space="preserve"> бюджетные ассигнования предусмотрены на доплату к пенсиям муниципальных служащих за счет средств районного бюджета в 2025-2027 годах в  общей сумме 7633,5 тыс. рублей по 2544,5 тыс. рублей ежегодно.</w:t>
      </w:r>
    </w:p>
    <w:p w:rsidR="006A2C1C" w:rsidRDefault="009A6A63">
      <w:pPr>
        <w:ind w:firstLine="708"/>
        <w:jc w:val="both"/>
      </w:pPr>
      <w:r>
        <w:t>Согласно основным направлениям бюджетной и налоговой политики район продолжает участвовать в национальных проектах и в 2024 году район участвует в  национальных проектах это "Образование", "Культура" а так же в национальной программе «Цифровая экономика Российской Федерации». Общий объем финансирования мероприятий национальных проектов составил 7346,7 тыс.рублей, исполнение за 9 месяцев 18%.</w:t>
      </w:r>
    </w:p>
    <w:p w:rsidR="006A2C1C" w:rsidRDefault="009A6A63">
      <w:pPr>
        <w:ind w:firstLine="708"/>
        <w:jc w:val="both"/>
      </w:pPr>
      <w:r>
        <w:t xml:space="preserve">В предстоящем бюджетном цикле бюджетная политика района будет ориентирована на продолжение участие района в национальных проектах. </w:t>
      </w:r>
    </w:p>
    <w:p w:rsidR="006A2C1C" w:rsidRDefault="009A6A63">
      <w:pPr>
        <w:pStyle w:val="aff6"/>
        <w:spacing w:after="0"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Суммарный объем программной и непрограммной частей соответствует ведомственной структуре расходов бюджета района.</w:t>
      </w:r>
    </w:p>
    <w:p w:rsidR="006A2C1C" w:rsidRDefault="006A2C1C" w:rsidP="00AA5855">
      <w:pPr>
        <w:rPr>
          <w:b/>
        </w:rPr>
      </w:pPr>
    </w:p>
    <w:p w:rsidR="006A2C1C" w:rsidRDefault="009A6A63">
      <w:pPr>
        <w:jc w:val="center"/>
      </w:pPr>
      <w:r>
        <w:rPr>
          <w:b/>
        </w:rPr>
        <w:t xml:space="preserve">Объем Дорожного фонда </w:t>
      </w:r>
    </w:p>
    <w:p w:rsidR="006A2C1C" w:rsidRDefault="009A6A63">
      <w:pPr>
        <w:ind w:firstLine="567"/>
        <w:jc w:val="both"/>
      </w:pPr>
      <w:r>
        <w:t>Объем ассигнований Дорожного фонда на 2025 год и плановый период 2026-2027 годов запланирован в сумме 13717,9 тыс. рублей, в том числе на 2025 год в сумме 4394,5 тыс. рублей, на 2026год в сумме 4570,3 тыс.рублей, на 2027 год в сумме 4753,1 тыс.рублей.</w:t>
      </w:r>
    </w:p>
    <w:p w:rsidR="006A2C1C" w:rsidRDefault="009A6A63">
      <w:pPr>
        <w:ind w:firstLine="567"/>
        <w:jc w:val="both"/>
      </w:pPr>
      <w:r>
        <w:t>Средства дорожного фонда будут направлены на содержание автомобильных дорог муниципального района.</w:t>
      </w:r>
    </w:p>
    <w:p w:rsidR="006A2C1C" w:rsidRDefault="006A2C1C">
      <w:pPr>
        <w:jc w:val="both"/>
        <w:rPr>
          <w:sz w:val="28"/>
          <w:szCs w:val="28"/>
        </w:rPr>
      </w:pPr>
    </w:p>
    <w:p w:rsidR="00F27CAC" w:rsidRDefault="00F27CAC">
      <w:pPr>
        <w:jc w:val="center"/>
        <w:rPr>
          <w:b/>
        </w:rPr>
      </w:pPr>
    </w:p>
    <w:p w:rsidR="00F27CAC" w:rsidRDefault="00F27CAC">
      <w:pPr>
        <w:jc w:val="center"/>
        <w:rPr>
          <w:b/>
        </w:rPr>
      </w:pPr>
    </w:p>
    <w:p w:rsidR="006A2C1C" w:rsidRDefault="009A6A63">
      <w:pPr>
        <w:jc w:val="center"/>
        <w:rPr>
          <w:b/>
        </w:rPr>
      </w:pPr>
      <w:r>
        <w:rPr>
          <w:b/>
        </w:rPr>
        <w:lastRenderedPageBreak/>
        <w:t>Источники финансирования дефицита бюджета</w:t>
      </w:r>
    </w:p>
    <w:p w:rsidR="006A2C1C" w:rsidRDefault="009A6A63">
      <w:r>
        <w:t xml:space="preserve">         Дефицит районного бюджета на 2025 год в соответствии с проектом решения планируется в сумме 0,0 тыс. рублей, на 2026 год - 0,0 тыс. рублей, на 2027 год - 0,0 тыс. рублей.</w:t>
      </w:r>
    </w:p>
    <w:p w:rsidR="006A2C1C" w:rsidRDefault="009A6A63">
      <w:pPr>
        <w:ind w:firstLine="567"/>
        <w:jc w:val="both"/>
      </w:pPr>
      <w:r>
        <w:t>В источниках внутреннего финансирования дефицита районного бюджета предусматривается выдача и возврат бюджетного кредита.</w:t>
      </w:r>
    </w:p>
    <w:p w:rsidR="006A2C1C" w:rsidRDefault="009A6A63">
      <w:pPr>
        <w:ind w:firstLine="567"/>
        <w:jc w:val="both"/>
      </w:pPr>
      <w:r>
        <w:t>По главному распорядителю бюджетных средств</w:t>
      </w:r>
      <w:r>
        <w:rPr>
          <w:i/>
        </w:rPr>
        <w:t xml:space="preserve"> – финансовое управления Партизанского района </w:t>
      </w:r>
      <w:r>
        <w:t>запланировано предоставление бюджетного кредита на покрытие временного кассового разрыва, возникшего в процессе исполнения бюджета района, а также на погашение долговых обязательств муниципального района по следующей схеме:</w:t>
      </w:r>
    </w:p>
    <w:p w:rsidR="006A2C1C" w:rsidRDefault="009A6A63">
      <w:pPr>
        <w:tabs>
          <w:tab w:val="left" w:pos="1134"/>
        </w:tabs>
        <w:ind w:firstLine="567"/>
        <w:jc w:val="both"/>
        <w:rPr>
          <w:spacing w:val="6"/>
        </w:rPr>
      </w:pPr>
      <w:r>
        <w:rPr>
          <w:spacing w:val="6"/>
        </w:rPr>
        <w:t>в 2025 году в объеме 15 400,0 тыс. рублей,</w:t>
      </w:r>
    </w:p>
    <w:p w:rsidR="006A2C1C" w:rsidRDefault="009A6A63">
      <w:pPr>
        <w:tabs>
          <w:tab w:val="left" w:pos="1134"/>
        </w:tabs>
        <w:ind w:firstLine="567"/>
        <w:jc w:val="both"/>
        <w:rPr>
          <w:spacing w:val="6"/>
        </w:rPr>
      </w:pPr>
      <w:r>
        <w:rPr>
          <w:spacing w:val="6"/>
        </w:rPr>
        <w:t>в 2026 году в объеме 0,0 тыс. рублей,</w:t>
      </w:r>
    </w:p>
    <w:p w:rsidR="006A2C1C" w:rsidRDefault="009A6A63">
      <w:pPr>
        <w:tabs>
          <w:tab w:val="left" w:pos="1134"/>
        </w:tabs>
        <w:ind w:firstLine="567"/>
        <w:jc w:val="both"/>
        <w:rPr>
          <w:spacing w:val="6"/>
        </w:rPr>
      </w:pPr>
      <w:r>
        <w:rPr>
          <w:spacing w:val="6"/>
        </w:rPr>
        <w:t>в 2027 году в объеме 0,0 тыс. рублей.</w:t>
      </w:r>
    </w:p>
    <w:p w:rsidR="006A2C1C" w:rsidRDefault="009A6A63">
      <w:pPr>
        <w:ind w:firstLine="567"/>
        <w:jc w:val="both"/>
      </w:pPr>
      <w:r>
        <w:t>Кроме того, в 2025 году предусмотрен возврат в краевой бюджет 15 400,0 тыс. рублей, в том числе:</w:t>
      </w:r>
    </w:p>
    <w:p w:rsidR="006A2C1C" w:rsidRDefault="009A6A63">
      <w:pPr>
        <w:tabs>
          <w:tab w:val="left" w:pos="1276"/>
        </w:tabs>
        <w:ind w:firstLine="567"/>
        <w:jc w:val="both"/>
        <w:rPr>
          <w:spacing w:val="6"/>
        </w:rPr>
      </w:pPr>
      <w:r>
        <w:rPr>
          <w:spacing w:val="6"/>
        </w:rPr>
        <w:t>15400,0 тыс. рублей - бюджетный кредит,  предоставленный в 2023 году, со сроком погашения в 2025 году;</w:t>
      </w:r>
    </w:p>
    <w:p w:rsidR="006A2C1C" w:rsidRDefault="009A6A63">
      <w:pPr>
        <w:ind w:firstLine="567"/>
        <w:jc w:val="both"/>
      </w:pPr>
      <w:r>
        <w:t>В 2026-2027 годах возврата бюджетного кредита не предусмотрено.</w:t>
      </w:r>
    </w:p>
    <w:p w:rsidR="006A2C1C" w:rsidRDefault="006A2C1C">
      <w:pPr>
        <w:ind w:firstLine="567"/>
        <w:jc w:val="both"/>
      </w:pPr>
    </w:p>
    <w:p w:rsidR="006A2C1C" w:rsidRDefault="009A6A63">
      <w:pPr>
        <w:jc w:val="center"/>
        <w:rPr>
          <w:b/>
          <w:bCs/>
        </w:rPr>
      </w:pPr>
      <w:r>
        <w:rPr>
          <w:b/>
          <w:bCs/>
        </w:rPr>
        <w:t>Программа муниципальных внутренних заимствований</w:t>
      </w:r>
    </w:p>
    <w:p w:rsidR="006A2C1C" w:rsidRDefault="009A6A63">
      <w:pPr>
        <w:jc w:val="center"/>
        <w:rPr>
          <w:b/>
          <w:bCs/>
        </w:rPr>
      </w:pPr>
      <w:r>
        <w:rPr>
          <w:b/>
          <w:bCs/>
        </w:rPr>
        <w:t>Партизанского района на 2025-2027 годы</w:t>
      </w:r>
    </w:p>
    <w:p w:rsidR="006A2C1C" w:rsidRDefault="009A6A63">
      <w:pPr>
        <w:ind w:firstLine="567"/>
        <w:jc w:val="both"/>
      </w:pPr>
      <w:r>
        <w:t>Пунктом 15 проекта решения «О районном бюджете на 2025 год и на плановый период 2026 и 2027 годов» утверждена Программа муниципальных внутренних заимствований Партизанского  района».</w:t>
      </w:r>
    </w:p>
    <w:p w:rsidR="006A2C1C" w:rsidRDefault="009A6A63">
      <w:pPr>
        <w:ind w:firstLine="567"/>
        <w:jc w:val="both"/>
      </w:pPr>
      <w:r>
        <w:t>В 2025-2027 годах не предполагается увеличение долговой нагрузки на районный бюджет, программой внутренних муниципальных заимствований предусмотрен следующий прогноз по объему муниципального долга: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40"/>
        <w:gridCol w:w="3820"/>
        <w:gridCol w:w="1634"/>
        <w:gridCol w:w="1701"/>
        <w:gridCol w:w="1701"/>
      </w:tblGrid>
      <w:tr w:rsidR="006A2C1C" w:rsidTr="006B2FC6">
        <w:trPr>
          <w:trHeight w:val="300"/>
        </w:trPr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2C1C" w:rsidRDefault="006A2C1C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2C1C" w:rsidRDefault="006A2C1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2C1C" w:rsidRDefault="006A2C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2C1C" w:rsidRDefault="006A2C1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(тыс.рублей)</w:t>
            </w:r>
          </w:p>
        </w:tc>
      </w:tr>
      <w:tr w:rsidR="006A2C1C" w:rsidTr="006B2FC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Внутренние заимствования (привлечение/погашение)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2027 год</w:t>
            </w:r>
          </w:p>
        </w:tc>
      </w:tr>
      <w:tr w:rsidR="006A2C1C" w:rsidTr="006B2FC6">
        <w:trPr>
          <w:trHeight w:val="300"/>
        </w:trPr>
        <w:tc>
          <w:tcPr>
            <w:tcW w:w="9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A2C1C" w:rsidTr="006B2FC6">
        <w:trPr>
          <w:trHeight w:val="900"/>
        </w:trPr>
        <w:tc>
          <w:tcPr>
            <w:tcW w:w="9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C1C" w:rsidRDefault="009A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2C1C" w:rsidTr="006B2FC6">
        <w:trPr>
          <w:trHeight w:val="300"/>
        </w:trPr>
        <w:tc>
          <w:tcPr>
            <w:tcW w:w="9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</w:t>
            </w:r>
          </w:p>
        </w:tc>
        <w:tc>
          <w:tcPr>
            <w:tcW w:w="16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2C1C" w:rsidTr="006B2FC6">
        <w:trPr>
          <w:trHeight w:val="300"/>
        </w:trPr>
        <w:tc>
          <w:tcPr>
            <w:tcW w:w="9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6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C1C" w:rsidRDefault="009A6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A2C1C" w:rsidRDefault="009A6A63">
      <w:pPr>
        <w:jc w:val="both"/>
      </w:pPr>
      <w:r>
        <w:t xml:space="preserve">       В части погашения долговых обязательств в программу муниципальных внутренних заимствований включены средства на погашение бюджетных кредитов, полученных из краевого бюджета: в 2025 году - 15400,0 тыс. рублей.</w:t>
      </w:r>
    </w:p>
    <w:p w:rsidR="006A2C1C" w:rsidRDefault="006A2C1C">
      <w:pPr>
        <w:rPr>
          <w:b/>
          <w:sz w:val="28"/>
          <w:szCs w:val="28"/>
        </w:rPr>
      </w:pPr>
    </w:p>
    <w:p w:rsidR="006A2C1C" w:rsidRDefault="009A6A63">
      <w:pPr>
        <w:ind w:firstLine="7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Муниципальный внутренний долг</w:t>
      </w:r>
    </w:p>
    <w:p w:rsidR="006A2C1C" w:rsidRDefault="009A6A63">
      <w:pPr>
        <w:ind w:firstLine="567"/>
        <w:jc w:val="both"/>
      </w:pPr>
      <w:r>
        <w:t>Пунктом 17 проекта решения «О районном бюджете на 2025 год и на плановый период 2026 и 2027 годов» предусмотрен «Муниципальный внутренний долг Партизанского района».</w:t>
      </w:r>
    </w:p>
    <w:p w:rsidR="006A2C1C" w:rsidRDefault="009A6A6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Верхний предел муниципального внутреннего долга Партизанского района по долговым обязательствам  составит:</w:t>
      </w:r>
    </w:p>
    <w:p w:rsidR="006A2C1C" w:rsidRDefault="009A6A63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1 января 2026 года - 0,0 тыс. рублей, в том числе по муниципальным гарантиям 0,0 тыс. рублей;  на 1 января 2027 года-  0,0 тыс. рублей, в том числе по муниципальным гарантиям 0,0 тыс. рублей; на 1 января 2028 года- 0,0 тыс. рублей, в том числе по муниципальным гарантиям 0,0 тыс. рублей.</w:t>
      </w:r>
    </w:p>
    <w:p w:rsidR="00F27CAC" w:rsidRDefault="00F27CAC">
      <w:pPr>
        <w:jc w:val="center"/>
        <w:rPr>
          <w:b/>
        </w:rPr>
      </w:pPr>
    </w:p>
    <w:p w:rsidR="006A2C1C" w:rsidRDefault="009A6A63">
      <w:pPr>
        <w:jc w:val="center"/>
        <w:rPr>
          <w:b/>
        </w:rPr>
      </w:pPr>
      <w:r>
        <w:rPr>
          <w:b/>
        </w:rPr>
        <w:lastRenderedPageBreak/>
        <w:t>Выводы:</w:t>
      </w:r>
    </w:p>
    <w:p w:rsidR="006A2C1C" w:rsidRDefault="009A6A63">
      <w:pPr>
        <w:ind w:firstLine="567"/>
        <w:jc w:val="both"/>
      </w:pPr>
      <w:r>
        <w:t>Проект решения «О районном бюджете на 2025 год и плановый период 2026-2027 годов» внесен администрацией Партизанского района Красноярского края на рассмотрение в представительный орган Партизанского района в установленный срок, соответствующий статье 185 Бюджетного кодекса Российской Федерации,</w:t>
      </w:r>
      <w:r w:rsidR="00D755EF">
        <w:t xml:space="preserve"> </w:t>
      </w:r>
      <w:r>
        <w:t>п. 26 Положения о бюджетном процессе  (не позднее 15 ноября).</w:t>
      </w:r>
    </w:p>
    <w:p w:rsidR="006A2C1C" w:rsidRDefault="009A6A63">
      <w:pPr>
        <w:ind w:firstLine="567"/>
        <w:jc w:val="both"/>
      </w:pPr>
      <w:r>
        <w:t xml:space="preserve">Перечень документов, представленных одновременно с проектом решения о бюджете </w:t>
      </w:r>
      <w:r>
        <w:rPr>
          <w:b/>
          <w:bCs/>
        </w:rPr>
        <w:t xml:space="preserve">соответствует </w:t>
      </w:r>
      <w:r>
        <w:t>требованиям статьи 184.2 БК РФ, и статьями 24 Положения о бюджетном процессе в Партизанском районе.</w:t>
      </w:r>
    </w:p>
    <w:p w:rsidR="006A2C1C" w:rsidRDefault="009A6A63">
      <w:pPr>
        <w:ind w:firstLine="567"/>
        <w:jc w:val="both"/>
        <w:rPr>
          <w:color w:val="FF0000"/>
        </w:rPr>
      </w:pPr>
      <w:r>
        <w:t xml:space="preserve">Состав показателей и характеристик (приложений), в представленном пакете документов, устанавливаемый проектом решения </w:t>
      </w:r>
      <w:r>
        <w:rPr>
          <w:b/>
          <w:bCs/>
        </w:rPr>
        <w:t>соответствует</w:t>
      </w:r>
      <w:r>
        <w:t xml:space="preserve"> требованиям статьи 184.1 Бюджетного кодекса Российской Федерации</w:t>
      </w:r>
    </w:p>
    <w:p w:rsidR="006A2C1C" w:rsidRDefault="009A6A63">
      <w:pPr>
        <w:ind w:firstLine="567"/>
        <w:jc w:val="both"/>
      </w:pPr>
      <w:r>
        <w:t>В соответствии с требованиями п.4 ст.169 БК РФ и п.23 Положения о бюджетном процессе Проект решения о бюджете составлен на три года: очередной финансовый год (2025) и плановый период (2026 и 2027 годы).</w:t>
      </w:r>
    </w:p>
    <w:p w:rsidR="006A2C1C" w:rsidRDefault="009A6A63">
      <w:pPr>
        <w:ind w:firstLine="567"/>
        <w:jc w:val="both"/>
      </w:pPr>
      <w:r>
        <w:t xml:space="preserve">Состав показателей, представляемых для утверждения в Проекте решения о бюджете, соответствует требованиям ст.184.1 БК РФ и п.25 Положения о бюджетном процессе. </w:t>
      </w:r>
    </w:p>
    <w:p w:rsidR="006A2C1C" w:rsidRDefault="009A6A63">
      <w:pPr>
        <w:ind w:firstLine="567"/>
        <w:jc w:val="both"/>
      </w:pPr>
      <w:r>
        <w:t>За основу при формировании районного бюджета на 2025–2027 годы традиционно приняты показатели базового варианта Прогноза СЭР.</w:t>
      </w:r>
    </w:p>
    <w:p w:rsidR="006A2C1C" w:rsidRDefault="009A6A63">
      <w:pPr>
        <w:ind w:firstLine="567"/>
        <w:jc w:val="both"/>
        <w:rPr>
          <w:b/>
          <w:bCs/>
        </w:rPr>
      </w:pPr>
      <w:r>
        <w:t xml:space="preserve">Реализация бюджетной и налоговой политики района </w:t>
      </w:r>
      <w:r>
        <w:rPr>
          <w:b/>
          <w:bCs/>
        </w:rPr>
        <w:t xml:space="preserve">соответствует </w:t>
      </w:r>
      <w:r>
        <w:t>основным положениям Бюджетного послания Президента Российской</w:t>
      </w:r>
      <w:r>
        <w:rPr>
          <w:b/>
          <w:bCs/>
        </w:rPr>
        <w:t xml:space="preserve"> </w:t>
      </w:r>
      <w:r>
        <w:t>Федерации, основным направлениям бюджетной и налоговой политики</w:t>
      </w:r>
      <w:r>
        <w:rPr>
          <w:b/>
          <w:bCs/>
        </w:rPr>
        <w:t xml:space="preserve"> </w:t>
      </w:r>
      <w:r>
        <w:t>Российской Федерации и Красноярского края и Партизанского района на 2025</w:t>
      </w:r>
      <w:r>
        <w:rPr>
          <w:b/>
          <w:bCs/>
        </w:rPr>
        <w:t xml:space="preserve"> </w:t>
      </w:r>
      <w:r>
        <w:t>год и плановый период 2026-2027 годов.</w:t>
      </w:r>
    </w:p>
    <w:p w:rsidR="006A2C1C" w:rsidRDefault="009A6A63">
      <w:pPr>
        <w:ind w:firstLine="567"/>
        <w:jc w:val="both"/>
      </w:pPr>
      <w:r>
        <w:t>В нарушение статьи 173 Бюджетного Кодекса Российской Федерации, статьи 6 Федерального закона от 28.06.2014г. № 172-ФЗ «О стратегическом планировании в Российской Федерации», прогноз социально-экономического развития Партизанского района на 2025 год и плановый период 2026-2027 годов, утвержден Постановлением Главы Партизанского района от 19.08.2024 № 463-п ранее принятия решения о внесении проекта решения о бюджете в Партизанский районный Совет депутатов.</w:t>
      </w:r>
    </w:p>
    <w:p w:rsidR="006A2C1C" w:rsidRDefault="009A6A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color w:val="000000"/>
        </w:rPr>
      </w:pPr>
      <w:r>
        <w:rPr>
          <w:color w:val="000000"/>
        </w:rPr>
        <w:t>В результате анализа выявлено, что Стратегия разработана в отсутствие Прогноза социально - экономического развития Партизанского района на долгосрочный период, наличие которого предусмотрено пунктом 4 Постановления  главы Партизанского района от 11.07.2016 г № 237-п «Об утверждении Порядка разработки, корректировки, осуществления мониторинга и контроля реализации Стратегии социально-экономического развития Партизанского района» (далее-постановление о порядке разработки Стратегии).</w:t>
      </w:r>
    </w:p>
    <w:p w:rsidR="006A2C1C" w:rsidRDefault="009A6A63">
      <w:pPr>
        <w:ind w:firstLine="567"/>
        <w:jc w:val="both"/>
      </w:pPr>
      <w:r>
        <w:t xml:space="preserve">Из тех показателей которые имеют место в Прогнозе СЭР сопоставить их значения с показателями Стратегии до 2030 года на предстоящий бюджетный цикл </w:t>
      </w:r>
      <w:r>
        <w:rPr>
          <w:b/>
        </w:rPr>
        <w:t>не представляется</w:t>
      </w:r>
      <w:r>
        <w:t xml:space="preserve"> возможным, в связи с тем, что в Стратегии до 2030 года и в Плане реализации Стратегии до 2030 года отражены только финальные значения целевых показателей (2025 год и 2030 год), в связи с чем целесообразно установить промежуточные значения хотя бы части показателей на каждый год, для того, чтобы в осуществлять мониторинг реализации Стратегии до 2030 года предусмотренный п.13  Порядка разработки, корректировки, осуществления мониторинга и контроля реализации Стратегии социально-экономического развития Партизанского района, утвержденного постановлением главы Партизанского района от 11.07.2016 № 237-п </w:t>
      </w:r>
    </w:p>
    <w:p w:rsidR="006A2C1C" w:rsidRDefault="009A6A63">
      <w:pPr>
        <w:ind w:firstLine="567"/>
        <w:jc w:val="both"/>
      </w:pPr>
      <w:r>
        <w:t>(</w:t>
      </w:r>
      <w:r>
        <w:rPr>
          <w:i/>
          <w:u w:val="single"/>
        </w:rPr>
        <w:t>С момента утверждения Стратегии до 2030 года по сегодняшний день мониторинг ни разу не проводился</w:t>
      </w:r>
      <w:r>
        <w:t>).</w:t>
      </w:r>
    </w:p>
    <w:p w:rsidR="006A2C1C" w:rsidRDefault="009A6A63">
      <w:pPr>
        <w:ind w:firstLine="567"/>
        <w:jc w:val="both"/>
        <w:rPr>
          <w:b/>
          <w:bCs/>
        </w:rPr>
      </w:pPr>
      <w:r>
        <w:t xml:space="preserve">При формировании Прогноза СЭР </w:t>
      </w:r>
      <w:r>
        <w:rPr>
          <w:b/>
          <w:bCs/>
        </w:rPr>
        <w:t xml:space="preserve">не в полной мере соблюдены </w:t>
      </w:r>
      <w:r>
        <w:t>требования ст. 37, ст.172 Бюджетного кодекса РФ</w:t>
      </w:r>
      <w:r>
        <w:rPr>
          <w:b/>
          <w:bCs/>
        </w:rPr>
        <w:t xml:space="preserve">, отсутствует </w:t>
      </w:r>
      <w:r>
        <w:t>взаимосвязь</w:t>
      </w:r>
      <w:r>
        <w:rPr>
          <w:b/>
          <w:bCs/>
        </w:rPr>
        <w:t xml:space="preserve"> </w:t>
      </w:r>
      <w:r>
        <w:t>показателей результативности в муниципальных программах в прогнозном</w:t>
      </w:r>
      <w:r>
        <w:rPr>
          <w:b/>
          <w:bCs/>
        </w:rPr>
        <w:t xml:space="preserve"> </w:t>
      </w:r>
      <w:r>
        <w:t>периоде с показателями Прогноза СЭР.</w:t>
      </w:r>
    </w:p>
    <w:p w:rsidR="006A2C1C" w:rsidRDefault="009A6A63">
      <w:pPr>
        <w:ind w:firstLine="567"/>
        <w:jc w:val="both"/>
      </w:pPr>
      <w:r>
        <w:lastRenderedPageBreak/>
        <w:t>В соответствии с требованиями ст. 184.1 Бюджетного кодекса Российской Федерации решением о бюджете должны быть установлены условно утверждаемые (утвержденные) расходы: в первый год планового периода (2025 год) не менее 2,5 %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(2026 год). В соответствии с указанными требованиями в параметрах районного бюджета предусмотрен объем условно утверждаемых расходов:</w:t>
      </w:r>
    </w:p>
    <w:p w:rsidR="006A2C1C" w:rsidRDefault="009A6A63">
      <w:pPr>
        <w:ind w:firstLine="567"/>
        <w:jc w:val="both"/>
      </w:pPr>
      <w:r>
        <w:t>- 2026 год - 20283,0 тыс. рублей - 2,5 % от общего объема расходов бюджета;</w:t>
      </w:r>
    </w:p>
    <w:p w:rsidR="006A2C1C" w:rsidRDefault="009A6A63">
      <w:pPr>
        <w:ind w:firstLine="567"/>
        <w:jc w:val="both"/>
      </w:pPr>
      <w:r>
        <w:t>- 2027 год -</w:t>
      </w:r>
      <w:r w:rsidR="008B4B3C">
        <w:t xml:space="preserve"> </w:t>
      </w:r>
      <w:r>
        <w:t>41359,7 рублей - 5,0 % от общего объема расходов бюджета.</w:t>
      </w:r>
    </w:p>
    <w:p w:rsidR="006A2C1C" w:rsidRDefault="009A6A63">
      <w:pPr>
        <w:ind w:firstLine="567"/>
        <w:jc w:val="both"/>
      </w:pPr>
      <w: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6A2C1C" w:rsidRDefault="009A6A63">
      <w:pPr>
        <w:ind w:firstLine="567"/>
        <w:jc w:val="both"/>
      </w:pPr>
      <w:r>
        <w:t xml:space="preserve">В соответствии со ст. 184.1 Бюджетного Кодекса Российской Федерации в ведомственной и функциональной структуре районного бюджета на 2025 год и на плановый период 2026-2027 годов выделяются все публичные нормативные обязательства, общий объем которых установлен настоящим проектом решения в сумме 7633,5 тыс. рублей (в 2025 году - 2544,5 тыс. рублей, в плановом периоде 2026 -2027 годов – 2544,5 тыс. рублей ежегодно). </w:t>
      </w:r>
    </w:p>
    <w:p w:rsidR="006A2C1C" w:rsidRDefault="009A6A63">
      <w:pPr>
        <w:ind w:firstLine="567"/>
        <w:jc w:val="both"/>
      </w:pPr>
      <w:r>
        <w:t>Статьей 81.1 Бюджетного кодекса Российской Федерации проектом решения утверждается объем бюджетных ассигнований резервного фонда администрации Партизанского района на 2025 год в сумме 1000,0 тыс. рублей, на плановый период 2026 - 2027 годов в сумме 1000,0 тыс. рублей ежегодно.</w:t>
      </w:r>
    </w:p>
    <w:p w:rsidR="006A2C1C" w:rsidRDefault="009A6A63">
      <w:pPr>
        <w:ind w:firstLine="567"/>
        <w:jc w:val="both"/>
      </w:pPr>
      <w:r>
        <w:t>В соответствии со ст. 179.4 Бюджетного Кодекса Российской Федерации проектом решения  «О районном бюджете на 2025 год и плановый период 2026-2027 годов», утверждается объем бюджетных ассигнований дорожного фонда Партизанского района на 2025 год в сумме 4394,5 тыс. рублей, на 2026 год в сумме 4570,3 тыс. рублей, на 2027 год в сумме 4753,1 тыс. рублей.</w:t>
      </w:r>
    </w:p>
    <w:p w:rsidR="006A2C1C" w:rsidRDefault="009A6A63">
      <w:pPr>
        <w:ind w:firstLine="567"/>
        <w:jc w:val="both"/>
      </w:pPr>
      <w:r>
        <w:t>В соответствии со статьей 107 Бюджетного кодекса Российской Федерации проектом решения устанавливается верхний предел муниципального внутреннего долга, по состоянию на 1 января 2026 года, а также 1 января 2027 и 2028 годов.</w:t>
      </w:r>
    </w:p>
    <w:p w:rsidR="006A2C1C" w:rsidRDefault="009A6A63">
      <w:pPr>
        <w:ind w:firstLine="567"/>
        <w:jc w:val="both"/>
      </w:pPr>
      <w: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6A2C1C" w:rsidRDefault="009A6A63">
      <w:pPr>
        <w:ind w:firstLine="567"/>
        <w:jc w:val="both"/>
      </w:pPr>
      <w:r>
        <w:t xml:space="preserve">Проект районного бюджета на 2025 год сформирован с учетом равенства расходов с доходами, на плановый период 2026-2027 годы не предусмотрено превышения расходов над доходами. Дефицит районного бюджета в объеме 0,0 тыс.рублей ежегодно. </w:t>
      </w:r>
    </w:p>
    <w:p w:rsidR="006A2C1C" w:rsidRDefault="009A6A63">
      <w:pPr>
        <w:ind w:firstLine="567"/>
        <w:jc w:val="both"/>
      </w:pPr>
      <w:r>
        <w:t>В проекте решения о бюджете предлагается утвердить районный бюджет:</w:t>
      </w:r>
    </w:p>
    <w:p w:rsidR="006A2C1C" w:rsidRDefault="009A6A63">
      <w:pPr>
        <w:ind w:firstLine="567"/>
        <w:jc w:val="both"/>
      </w:pPr>
      <w:r>
        <w:t>- на 2025 год по доходам в сумме 794376,8 тыс. рублей и по расходам в сумме</w:t>
      </w:r>
    </w:p>
    <w:p w:rsidR="006A2C1C" w:rsidRDefault="009A6A63">
      <w:pPr>
        <w:ind w:firstLine="567"/>
        <w:jc w:val="both"/>
      </w:pPr>
      <w:r>
        <w:t>794376,8 тыс. рублей.</w:t>
      </w:r>
    </w:p>
    <w:p w:rsidR="006A2C1C" w:rsidRDefault="009A6A63">
      <w:pPr>
        <w:ind w:firstLine="567"/>
        <w:jc w:val="both"/>
      </w:pPr>
      <w:r>
        <w:t>Прогнозируемый дефицит районного бюджета 0,00 руб.</w:t>
      </w:r>
    </w:p>
    <w:p w:rsidR="00F27CAC" w:rsidRDefault="009A6A63">
      <w:pPr>
        <w:ind w:firstLine="567"/>
        <w:jc w:val="both"/>
      </w:pPr>
      <w:r>
        <w:t xml:space="preserve">Источники внутреннего финансирования дефицита районного бюджета в сумме </w:t>
      </w:r>
    </w:p>
    <w:p w:rsidR="006A2C1C" w:rsidRDefault="009A6A63">
      <w:pPr>
        <w:ind w:firstLine="567"/>
        <w:jc w:val="both"/>
      </w:pPr>
      <w:r>
        <w:t>0,0 тыс.рублей;</w:t>
      </w:r>
    </w:p>
    <w:p w:rsidR="006A2C1C" w:rsidRDefault="009A6A63">
      <w:pPr>
        <w:ind w:firstLine="567"/>
        <w:jc w:val="both"/>
      </w:pPr>
      <w:r>
        <w:t>- на 2026 год по доходам в сумме 811321,1 тыс. рублей и по расходам в сумме</w:t>
      </w:r>
    </w:p>
    <w:p w:rsidR="00F27CAC" w:rsidRDefault="009A6A63">
      <w:pPr>
        <w:ind w:firstLine="567"/>
        <w:jc w:val="both"/>
      </w:pPr>
      <w:r>
        <w:t xml:space="preserve">811321,1 тыс. рублей, в том числе условно утвержденные расходы в сумме </w:t>
      </w:r>
    </w:p>
    <w:p w:rsidR="006A2C1C" w:rsidRDefault="009A6A63">
      <w:pPr>
        <w:ind w:firstLine="567"/>
        <w:jc w:val="both"/>
      </w:pPr>
      <w:r>
        <w:t>20283,0 тыс.рублей.</w:t>
      </w:r>
    </w:p>
    <w:p w:rsidR="006A2C1C" w:rsidRDefault="009A6A63">
      <w:pPr>
        <w:ind w:firstLine="567"/>
        <w:jc w:val="both"/>
      </w:pPr>
      <w:r>
        <w:t>Прогнозируемый дефицит районного бюджета 0,0 тыс. рублей.</w:t>
      </w:r>
    </w:p>
    <w:p w:rsidR="00F27CAC" w:rsidRDefault="009A6A63">
      <w:pPr>
        <w:ind w:firstLine="567"/>
        <w:jc w:val="both"/>
      </w:pPr>
      <w:r>
        <w:t xml:space="preserve">Источники внутреннего финансирования дефицита районного бюджета </w:t>
      </w:r>
    </w:p>
    <w:p w:rsidR="006A2C1C" w:rsidRDefault="009A6A63">
      <w:pPr>
        <w:ind w:firstLine="567"/>
        <w:jc w:val="both"/>
      </w:pPr>
      <w:r>
        <w:t>0,0 тыс. рублей.</w:t>
      </w:r>
    </w:p>
    <w:p w:rsidR="006A2C1C" w:rsidRDefault="009A6A63">
      <w:pPr>
        <w:ind w:firstLine="567"/>
        <w:jc w:val="both"/>
      </w:pPr>
      <w:r>
        <w:t>- на 2027 год по доходам в сумме 827194,5 тыс. рублей и по расходам в сумме</w:t>
      </w:r>
    </w:p>
    <w:p w:rsidR="00F27CAC" w:rsidRDefault="009A6A63">
      <w:pPr>
        <w:ind w:firstLine="567"/>
        <w:jc w:val="both"/>
      </w:pPr>
      <w:r>
        <w:t xml:space="preserve">827194,5 тыс. рублей, в том числе условно утвержденные расходы в сумме </w:t>
      </w:r>
    </w:p>
    <w:p w:rsidR="006A2C1C" w:rsidRDefault="009A6A63">
      <w:pPr>
        <w:ind w:firstLine="567"/>
        <w:jc w:val="both"/>
      </w:pPr>
      <w:r>
        <w:t xml:space="preserve">41359,7 тыс.рублей. </w:t>
      </w:r>
    </w:p>
    <w:p w:rsidR="006A2C1C" w:rsidRDefault="009A6A63">
      <w:pPr>
        <w:ind w:firstLine="567"/>
        <w:jc w:val="both"/>
      </w:pPr>
      <w:r>
        <w:t>Прогнозируемый дефицит районного бюджета 0,0тыс. рублей.</w:t>
      </w:r>
    </w:p>
    <w:p w:rsidR="00F27CAC" w:rsidRDefault="009A6A63" w:rsidP="00F27CAC">
      <w:pPr>
        <w:ind w:firstLine="567"/>
        <w:jc w:val="both"/>
      </w:pPr>
      <w:r>
        <w:lastRenderedPageBreak/>
        <w:t xml:space="preserve">Источники внутреннего финансирования дефицита районного бюджета </w:t>
      </w:r>
    </w:p>
    <w:p w:rsidR="006A2C1C" w:rsidRPr="00F27CAC" w:rsidRDefault="00F27CAC" w:rsidP="00F27CAC">
      <w:pPr>
        <w:ind w:firstLine="567"/>
        <w:jc w:val="both"/>
        <w:rPr>
          <w:rStyle w:val="markedcontent"/>
        </w:rPr>
      </w:pPr>
      <w:r>
        <w:t>0,0тыс.</w:t>
      </w:r>
      <w:r w:rsidR="009A6A63">
        <w:t>рублей.</w:t>
      </w:r>
      <w:r w:rsidR="009A6A63">
        <w:br w:type="textWrapping" w:clear="all"/>
      </w:r>
      <w:r w:rsidR="009A6A63">
        <w:rPr>
          <w:rStyle w:val="markedcontent"/>
        </w:rPr>
        <w:t>Традиционно наибольший удельный вес в структуре доходов бюджета занимают безвозмездные поступления на</w:t>
      </w:r>
      <w:r w:rsidR="009A6A63">
        <w:t xml:space="preserve"> </w:t>
      </w:r>
      <w:r w:rsidR="009A6A63">
        <w:rPr>
          <w:rStyle w:val="markedcontent"/>
        </w:rPr>
        <w:t>2025 год 84,8 %, на плановый период 2026-2027 год – 84,5% и 84,2% соответственно.</w:t>
      </w:r>
    </w:p>
    <w:p w:rsidR="006A2C1C" w:rsidRDefault="009A6A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В соответствии с проектом решения о бюджете </w:t>
      </w:r>
      <w:r>
        <w:rPr>
          <w:bCs/>
          <w:color w:val="auto"/>
        </w:rPr>
        <w:t xml:space="preserve">расходы </w:t>
      </w:r>
      <w:r>
        <w:rPr>
          <w:color w:val="auto"/>
        </w:rPr>
        <w:t xml:space="preserve">районного бюджета </w:t>
      </w:r>
      <w:r>
        <w:rPr>
          <w:bCs/>
          <w:color w:val="auto"/>
        </w:rPr>
        <w:t xml:space="preserve">на реализацию 9 муниципальных программ на 2025 год </w:t>
      </w:r>
      <w:r>
        <w:rPr>
          <w:color w:val="auto"/>
        </w:rPr>
        <w:t xml:space="preserve">планируются в объеме </w:t>
      </w:r>
      <w:r>
        <w:rPr>
          <w:bCs/>
          <w:color w:val="auto"/>
        </w:rPr>
        <w:t xml:space="preserve">734399,4 тыс.рублей, </w:t>
      </w:r>
      <w:r>
        <w:rPr>
          <w:color w:val="auto"/>
        </w:rPr>
        <w:t xml:space="preserve">на 2026 год - 730675,7 тыс.рублей, на 2027 год - 727826,5 тыс.рублей, или 92,4%, 90,0% и 88,0% от общего объема расходов бюджета соответственно. </w:t>
      </w:r>
    </w:p>
    <w:p w:rsidR="006A2C1C" w:rsidRDefault="009A6A63">
      <w:pPr>
        <w:ind w:firstLine="567"/>
        <w:jc w:val="both"/>
      </w:pPr>
      <w:r>
        <w:t>Согласно проекта бюджета в 2025 году, самыми объемными по финансированию   являются следующие муниципальные программы: «Развитие образования» - 471645,4 тыс. руб. (64,2% от общей суммы финансирования МП), «Развитие культуры, спорта и молодежной политики» - 104783,6 тыс. руб. (14,2% от общей суммы финансирования МП), «Управление муниципальными финансами» - 76100,7 тыс. руб. (10,4% от общей суммы финансирования МП), «Обеспечение жизнедеятельности Партизанского района» - 70775,7 тыс. руб. (9,6% от общей суммы финансирования МП).</w:t>
      </w:r>
    </w:p>
    <w:p w:rsidR="006A2C1C" w:rsidRDefault="009A6A63">
      <w:pPr>
        <w:ind w:firstLine="567"/>
        <w:jc w:val="both"/>
      </w:pPr>
      <w:r>
        <w:t>Показатели финансового обеспечения муниципальных программ на 2025–2027 годы, предусмотренные паспортами, соответствуют бюджетным ассигнованиям, предусмотренным в Проекте решения о бюджете.</w:t>
      </w:r>
    </w:p>
    <w:p w:rsidR="006A2C1C" w:rsidRDefault="009A6A63">
      <w:pPr>
        <w:pStyle w:val="a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анализа формирования расходов бюджета на реализацию муниципальных программ и результатов экспертизы проектов муниципальных программ, представленных в Контрольно-ревизионную комиссию, при планировании районного бюджета на 2025 год и плановый период 2026-2027 годов, установлено </w:t>
      </w:r>
      <w:r>
        <w:rPr>
          <w:rFonts w:ascii="Times New Roman" w:hAnsi="Times New Roman"/>
          <w:b/>
          <w:sz w:val="24"/>
          <w:szCs w:val="24"/>
        </w:rPr>
        <w:t>не соблюдение</w:t>
      </w:r>
      <w:r>
        <w:rPr>
          <w:rFonts w:ascii="Times New Roman" w:hAnsi="Times New Roman"/>
          <w:sz w:val="24"/>
          <w:szCs w:val="24"/>
        </w:rPr>
        <w:t xml:space="preserve"> отдельными разработчиками муниципальных программ требований установленных Порядком принятия решений о разработке муниципальных программ Партизанского района, их формировании и реализации, утвержденных постановлением главы Партизанского района от 22.07.2013 № 451-п «Об утверждении   Порядка принятия решений о разработке муниципальных программ Партизанского района, их формирования и реализации» (далее-Порядок № 451-п), а именно:</w:t>
      </w:r>
    </w:p>
    <w:p w:rsidR="006A2C1C" w:rsidRDefault="009A6A63">
      <w:pPr>
        <w:ind w:firstLine="567"/>
        <w:jc w:val="both"/>
      </w:pPr>
      <w:r>
        <w:t>структура муниципальных программ и подпрограмм муниципальных программ не соответствует макету, предусмотренному Порядком № 451-п;</w:t>
      </w:r>
    </w:p>
    <w:p w:rsidR="006A2C1C" w:rsidRDefault="009A6A63">
      <w:pPr>
        <w:ind w:firstLine="567"/>
        <w:jc w:val="both"/>
      </w:pPr>
      <w:r>
        <w:t>отдельные целевые показатели не прозрачны, не имеют конкретного значения, не обеспечивают возможности их проверки и подтверждения, тем самым снижается объективность оценки результативности муниципальных программ и не позволения оценить эффективность использования бюджетных ассигнований, направляемых на реализацию мероприятий муниципальных программ;</w:t>
      </w:r>
    </w:p>
    <w:p w:rsidR="006A2C1C" w:rsidRDefault="009A6A63">
      <w:pPr>
        <w:ind w:firstLine="567"/>
        <w:jc w:val="both"/>
      </w:pPr>
      <w:r>
        <w:t>отсутствуют ожидаемые результаты от реализации подпрограмм с указанием динамики изменения показателей результативности.</w:t>
      </w:r>
    </w:p>
    <w:p w:rsidR="006A2C1C" w:rsidRDefault="009A6A63">
      <w:pPr>
        <w:ind w:firstLine="567"/>
        <w:jc w:val="both"/>
      </w:pPr>
      <w:r>
        <w:t xml:space="preserve">Все Постановления главы Партизанского района, предусматривающие изменения в действующие программы в части изменения бюджетных ассигнований при планировании районного бюджета на очередной финансовый год и плановый период, утверждены 30.10.2024 г, п.3.10 порядка не нарушен.  </w:t>
      </w:r>
    </w:p>
    <w:p w:rsidR="006A2C1C" w:rsidRDefault="009A6A63">
      <w:pPr>
        <w:ind w:firstLine="567"/>
        <w:jc w:val="both"/>
      </w:pPr>
      <w:r>
        <w:t xml:space="preserve">Непрограммные расходы на 2025-2027 годы планируются в объеме 178348,1 тыс. рублей, из них на 2025 год - 59977,4 тыс. рублей, </w:t>
      </w:r>
      <w:r>
        <w:rPr>
          <w:bCs/>
        </w:rPr>
        <w:t>в 2026 году - 60362,4 тыс. рублей,</w:t>
      </w:r>
      <w:r>
        <w:t xml:space="preserve"> в </w:t>
      </w:r>
      <w:r>
        <w:rPr>
          <w:bCs/>
        </w:rPr>
        <w:t>2027 году - 58008,3 тыс. рублей</w:t>
      </w:r>
      <w:r>
        <w:t>.</w:t>
      </w:r>
    </w:p>
    <w:p w:rsidR="006A2C1C" w:rsidRDefault="009A6A63">
      <w:pPr>
        <w:ind w:firstLine="567"/>
        <w:jc w:val="both"/>
        <w:rPr>
          <w:color w:val="FF0000"/>
        </w:rPr>
      </w:pPr>
      <w:r>
        <w:t>Суммарный объем программной и непрограммной частей соответствует ведомственной структуре расходов бюджета района</w:t>
      </w:r>
      <w:r>
        <w:rPr>
          <w:color w:val="FF0000"/>
        </w:rPr>
        <w:t>.</w:t>
      </w:r>
    </w:p>
    <w:p w:rsidR="006A2C1C" w:rsidRDefault="009A6A63">
      <w:pPr>
        <w:ind w:firstLine="567"/>
      </w:pPr>
      <w:r>
        <w:t xml:space="preserve"> Дефицит районного бюджета на 2025 год в соответствии с проектом решения планируется в сумме 0,0 тыс. рублей, на 2026 год - 0,0 тыс. рублей, на 2027 год - 0,0 тыс. рублей.</w:t>
      </w:r>
    </w:p>
    <w:p w:rsidR="006A2C1C" w:rsidRDefault="009A6A63">
      <w:pPr>
        <w:ind w:firstLine="567"/>
        <w:jc w:val="both"/>
      </w:pPr>
      <w:r>
        <w:t>В источниках внутреннего финансирования дефицита районного бюджета предусматривается возврат бюджетного кредита.</w:t>
      </w:r>
    </w:p>
    <w:p w:rsidR="006A2C1C" w:rsidRDefault="009A6A63">
      <w:pPr>
        <w:ind w:firstLine="567"/>
        <w:jc w:val="both"/>
      </w:pPr>
      <w:r>
        <w:lastRenderedPageBreak/>
        <w:t>По главному распорядителю бюджетных средств</w:t>
      </w:r>
      <w:r>
        <w:rPr>
          <w:i/>
        </w:rPr>
        <w:t xml:space="preserve"> - финансовое управления Партизанского района </w:t>
      </w:r>
      <w:r>
        <w:t>запланировано предоставление бюджетного кредита на покрытие временного кассового разрыва, возникшего в процессе исполнения бюджета района, а также на погашение долговых обязательств муниципального района по следующей схеме:</w:t>
      </w:r>
    </w:p>
    <w:p w:rsidR="006A2C1C" w:rsidRDefault="009A6A63">
      <w:pPr>
        <w:tabs>
          <w:tab w:val="left" w:pos="1134"/>
        </w:tabs>
        <w:ind w:firstLine="567"/>
        <w:jc w:val="both"/>
        <w:rPr>
          <w:spacing w:val="6"/>
        </w:rPr>
      </w:pPr>
      <w:r>
        <w:rPr>
          <w:spacing w:val="6"/>
        </w:rPr>
        <w:t>в 2025 году в объеме 15 400,0 тыс. рублей,</w:t>
      </w:r>
    </w:p>
    <w:p w:rsidR="006A2C1C" w:rsidRDefault="009A6A63">
      <w:pPr>
        <w:tabs>
          <w:tab w:val="left" w:pos="1134"/>
        </w:tabs>
        <w:ind w:firstLine="567"/>
        <w:jc w:val="both"/>
        <w:rPr>
          <w:spacing w:val="6"/>
        </w:rPr>
      </w:pPr>
      <w:r>
        <w:rPr>
          <w:spacing w:val="6"/>
        </w:rPr>
        <w:t>в 2026 году в объеме 0,0 тыс. рублей,</w:t>
      </w:r>
    </w:p>
    <w:p w:rsidR="006A2C1C" w:rsidRDefault="009A6A63">
      <w:pPr>
        <w:tabs>
          <w:tab w:val="left" w:pos="1134"/>
        </w:tabs>
        <w:ind w:firstLine="567"/>
        <w:jc w:val="both"/>
        <w:rPr>
          <w:spacing w:val="6"/>
        </w:rPr>
      </w:pPr>
      <w:r>
        <w:rPr>
          <w:spacing w:val="6"/>
        </w:rPr>
        <w:t>в 2027 году в объеме 0,0 тыс. рублей.</w:t>
      </w:r>
    </w:p>
    <w:p w:rsidR="006A2C1C" w:rsidRDefault="009A6A63">
      <w:pPr>
        <w:ind w:firstLine="567"/>
        <w:jc w:val="both"/>
      </w:pPr>
      <w:r>
        <w:t>Кроме того, в 2025 году предусмотрен возврат в краевой бюджет 15 400,0 тыс. рублей, в том числе:</w:t>
      </w:r>
    </w:p>
    <w:p w:rsidR="006A2C1C" w:rsidRDefault="009A6A63">
      <w:pPr>
        <w:tabs>
          <w:tab w:val="left" w:pos="1276"/>
        </w:tabs>
        <w:ind w:firstLine="567"/>
        <w:jc w:val="both"/>
        <w:rPr>
          <w:spacing w:val="6"/>
        </w:rPr>
      </w:pPr>
      <w:r>
        <w:rPr>
          <w:spacing w:val="6"/>
        </w:rPr>
        <w:t>15400,0 тыс. рублей - бюджетный кредит,  предоставленный в 2023 году, со сроком погашения в 2025 году;</w:t>
      </w:r>
    </w:p>
    <w:p w:rsidR="006A2C1C" w:rsidRDefault="009A6A63">
      <w:pPr>
        <w:ind w:firstLine="567"/>
        <w:jc w:val="both"/>
      </w:pPr>
      <w:r>
        <w:t>В 2026-2027 годах возврата бюджетного кредита не предусмотрено.</w:t>
      </w:r>
    </w:p>
    <w:p w:rsidR="006A2C1C" w:rsidRDefault="009A6A63">
      <w:pPr>
        <w:ind w:firstLine="567"/>
        <w:jc w:val="both"/>
      </w:pPr>
      <w:r>
        <w:t xml:space="preserve">В части погашения долговых обязательств в программу муниципальных внутренних заимствований включены средства на погашение бюджетных кредитов, полученных из краевого бюджета: в 2025 году - 15400,00 тыс.руб, в 2026 году - 0,00 тыс.руб., в 2027 году - 0,00 тыс.руб. </w:t>
      </w:r>
    </w:p>
    <w:p w:rsidR="006A2C1C" w:rsidRDefault="009A6A6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Проект решения о бюджете сформирован с учетом установленных БК РФ принципов сбалансированности бюджета (статья 33 БК РФ).</w:t>
      </w:r>
    </w:p>
    <w:p w:rsidR="006A2C1C" w:rsidRDefault="006A2C1C" w:rsidP="00AA5855">
      <w:pPr>
        <w:pStyle w:val="Default"/>
        <w:rPr>
          <w:b/>
          <w:bCs/>
        </w:rPr>
      </w:pPr>
    </w:p>
    <w:p w:rsidR="006A2C1C" w:rsidRDefault="009A6A63">
      <w:pPr>
        <w:pStyle w:val="Default"/>
        <w:jc w:val="center"/>
        <w:rPr>
          <w:b/>
          <w:bCs/>
        </w:rPr>
      </w:pPr>
      <w:r>
        <w:rPr>
          <w:b/>
          <w:bCs/>
        </w:rPr>
        <w:t>Предложения:</w:t>
      </w:r>
    </w:p>
    <w:p w:rsidR="00F27CAC" w:rsidRDefault="00F27CAC">
      <w:pPr>
        <w:pStyle w:val="Default"/>
        <w:jc w:val="center"/>
        <w:rPr>
          <w:b/>
          <w:bCs/>
        </w:rPr>
      </w:pPr>
    </w:p>
    <w:p w:rsidR="006A2C1C" w:rsidRDefault="009A6A63">
      <w:pPr>
        <w:pStyle w:val="Default"/>
        <w:rPr>
          <w:b/>
          <w:bCs/>
        </w:rPr>
      </w:pPr>
      <w:r>
        <w:rPr>
          <w:b/>
          <w:bCs/>
        </w:rPr>
        <w:t>Администрации Партизанского района:</w:t>
      </w:r>
    </w:p>
    <w:p w:rsidR="006A2C1C" w:rsidRDefault="009A6A6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Актуализировать  следующие нормативно правовые акты: </w:t>
      </w:r>
    </w:p>
    <w:p w:rsidR="006A2C1C" w:rsidRDefault="009A6A6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главы Партизанского района от 12.07.2011 № 501-п «Об утверждении Положения о порядке составления проекта решения Партизанского районного Совета депутатов о районном бюджете на очередной финансовый год и плановый период»;</w:t>
      </w:r>
    </w:p>
    <w:p w:rsidR="006A2C1C" w:rsidRDefault="009A6A6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главы Партизанского района от 11.07.2016 № 237-п «Об утверждении Порядка разработки, корректировки, осуществления мониторинга и контроля реализации Стратегии социально-экономического развития Партизанского района»</w:t>
      </w:r>
    </w:p>
    <w:p w:rsidR="006A2C1C" w:rsidRDefault="009A6A6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главы Партизанского района от 05.07.2017 № 389-п «Об утверждении положения о порядке разработки прогноза социально-экономического развития Партизанского района»</w:t>
      </w:r>
    </w:p>
    <w:p w:rsidR="006A2C1C" w:rsidRDefault="009A6A63">
      <w:pPr>
        <w:ind w:firstLine="567"/>
        <w:jc w:val="both"/>
      </w:pPr>
      <w:r>
        <w:t>Актуализировать документы стратегического планирования с целью их дальнейшего совершенствования, а также с целью соблюдения принципа сбалансированности системы стратегического планирования.</w:t>
      </w:r>
    </w:p>
    <w:p w:rsidR="006A2C1C" w:rsidRDefault="006A2C1C">
      <w:pPr>
        <w:ind w:firstLine="567"/>
        <w:jc w:val="both"/>
      </w:pPr>
    </w:p>
    <w:p w:rsidR="006A2C1C" w:rsidRDefault="009A6A63">
      <w:pPr>
        <w:jc w:val="both"/>
        <w:rPr>
          <w:b/>
        </w:rPr>
      </w:pPr>
      <w:r>
        <w:rPr>
          <w:b/>
        </w:rPr>
        <w:t>Финансовому управлению администрации района:</w:t>
      </w:r>
    </w:p>
    <w:p w:rsidR="006A2C1C" w:rsidRDefault="009A6A63">
      <w:pPr>
        <w:ind w:firstLine="567"/>
        <w:jc w:val="both"/>
      </w:pPr>
      <w:r>
        <w:t>При формировании бюджета на очередной бюджетный цикл не допускать нарушений и недостатков, выявленных в ходе экспертизы Проекта.</w:t>
      </w:r>
    </w:p>
    <w:p w:rsidR="006A2C1C" w:rsidRDefault="006A2C1C">
      <w:pPr>
        <w:pStyle w:val="Default"/>
        <w:jc w:val="both"/>
        <w:rPr>
          <w:sz w:val="28"/>
          <w:szCs w:val="28"/>
        </w:rPr>
      </w:pPr>
    </w:p>
    <w:p w:rsidR="00F27CAC" w:rsidRDefault="00F27CAC">
      <w:pPr>
        <w:jc w:val="both"/>
        <w:rPr>
          <w:b/>
          <w:bCs/>
        </w:rPr>
      </w:pPr>
    </w:p>
    <w:p w:rsidR="00F27CAC" w:rsidRDefault="00F27CAC">
      <w:pPr>
        <w:jc w:val="both"/>
        <w:rPr>
          <w:b/>
          <w:bCs/>
        </w:rPr>
      </w:pPr>
    </w:p>
    <w:p w:rsidR="00F27CAC" w:rsidRDefault="00F27CAC">
      <w:pPr>
        <w:jc w:val="both"/>
        <w:rPr>
          <w:b/>
          <w:bCs/>
        </w:rPr>
      </w:pPr>
    </w:p>
    <w:p w:rsidR="00F27CAC" w:rsidRDefault="00F27CAC">
      <w:pPr>
        <w:jc w:val="both"/>
        <w:rPr>
          <w:b/>
          <w:bCs/>
        </w:rPr>
      </w:pPr>
    </w:p>
    <w:p w:rsidR="00F27CAC" w:rsidRDefault="00F27CAC">
      <w:pPr>
        <w:jc w:val="both"/>
        <w:rPr>
          <w:b/>
          <w:bCs/>
        </w:rPr>
      </w:pPr>
    </w:p>
    <w:p w:rsidR="00F27CAC" w:rsidRDefault="00F27CAC">
      <w:pPr>
        <w:jc w:val="both"/>
        <w:rPr>
          <w:b/>
          <w:bCs/>
        </w:rPr>
      </w:pPr>
    </w:p>
    <w:p w:rsidR="00F27CAC" w:rsidRDefault="00F27CAC">
      <w:pPr>
        <w:jc w:val="both"/>
        <w:rPr>
          <w:b/>
          <w:bCs/>
        </w:rPr>
      </w:pPr>
    </w:p>
    <w:p w:rsidR="00F27CAC" w:rsidRDefault="00F27CAC">
      <w:pPr>
        <w:jc w:val="both"/>
        <w:rPr>
          <w:b/>
          <w:bCs/>
        </w:rPr>
      </w:pPr>
    </w:p>
    <w:p w:rsidR="00D755EF" w:rsidRDefault="00D755EF">
      <w:pPr>
        <w:jc w:val="both"/>
        <w:rPr>
          <w:b/>
          <w:bCs/>
        </w:rPr>
      </w:pPr>
    </w:p>
    <w:p w:rsidR="00D755EF" w:rsidRDefault="00D755EF">
      <w:pPr>
        <w:jc w:val="both"/>
        <w:rPr>
          <w:b/>
          <w:bCs/>
        </w:rPr>
      </w:pPr>
      <w:bookmarkStart w:id="46" w:name="_GoBack"/>
      <w:bookmarkEnd w:id="46"/>
    </w:p>
    <w:p w:rsidR="006A2C1C" w:rsidRDefault="009A6A63">
      <w:pPr>
        <w:jc w:val="both"/>
        <w:rPr>
          <w:b/>
          <w:bCs/>
        </w:rPr>
      </w:pPr>
      <w:r>
        <w:rPr>
          <w:b/>
          <w:bCs/>
        </w:rPr>
        <w:lastRenderedPageBreak/>
        <w:t>Партизанскому районному Совету депутатов:</w:t>
      </w:r>
    </w:p>
    <w:p w:rsidR="006A2C1C" w:rsidRPr="00F27CAC" w:rsidRDefault="009A6A63" w:rsidP="00F27CAC">
      <w:pPr>
        <w:tabs>
          <w:tab w:val="left" w:pos="0"/>
        </w:tabs>
        <w:ind w:firstLine="709"/>
        <w:jc w:val="both"/>
        <w:rPr>
          <w:spacing w:val="3"/>
        </w:rPr>
      </w:pPr>
      <w:r>
        <w:t xml:space="preserve">Контрольно-ревизионная комиссия, по </w:t>
      </w:r>
      <w:r>
        <w:rPr>
          <w:spacing w:val="3"/>
        </w:rPr>
        <w:t xml:space="preserve">результатам проведенной экспертизы проекта решения </w:t>
      </w:r>
      <w:r>
        <w:t xml:space="preserve"> «О районном бюджете  на 2025 год и плановый период 2026-2027 годов</w:t>
      </w:r>
      <w:r>
        <w:rPr>
          <w:spacing w:val="3"/>
        </w:rPr>
        <w:t>» и документов составляющих основу формирования бюджета, рекомендует Партизанскому районному Совету депутатов вынести Проект решения о бюджете на публичные слушания с учетом нарушений и предложений в предложенной редакции</w:t>
      </w:r>
      <w:r>
        <w:t>.</w:t>
      </w:r>
    </w:p>
    <w:p w:rsidR="006A2C1C" w:rsidRDefault="006A2C1C">
      <w:pPr>
        <w:jc w:val="both"/>
        <w:rPr>
          <w:b/>
          <w:bCs/>
        </w:rPr>
      </w:pPr>
    </w:p>
    <w:p w:rsidR="00DB20B2" w:rsidRDefault="00DB20B2">
      <w:pPr>
        <w:jc w:val="both"/>
        <w:rPr>
          <w:b/>
          <w:bCs/>
        </w:rPr>
      </w:pPr>
    </w:p>
    <w:p w:rsidR="00DB20B2" w:rsidRDefault="00DB20B2">
      <w:pPr>
        <w:jc w:val="both"/>
        <w:rPr>
          <w:b/>
          <w:bCs/>
        </w:rPr>
      </w:pPr>
    </w:p>
    <w:p w:rsidR="006A2C1C" w:rsidRDefault="009A6A63">
      <w:r>
        <w:t xml:space="preserve">Председатель                                                                                                   </w:t>
      </w:r>
    </w:p>
    <w:p w:rsidR="006A2C1C" w:rsidRDefault="009A6A63">
      <w:r>
        <w:t xml:space="preserve">Контрольно-ревизионной комиссии </w:t>
      </w:r>
    </w:p>
    <w:p w:rsidR="006A2C1C" w:rsidRDefault="009A6A63">
      <w:r>
        <w:t>Партизанского района                                                                     И.А.Консвик</w:t>
      </w:r>
    </w:p>
    <w:p w:rsidR="006A2C1C" w:rsidRDefault="006A2C1C"/>
    <w:p w:rsidR="006A2C1C" w:rsidRDefault="009A6A63">
      <w:r>
        <w:t xml:space="preserve">Инспектор                                                                                                   </w:t>
      </w:r>
    </w:p>
    <w:p w:rsidR="006A2C1C" w:rsidRDefault="009A6A63">
      <w:r>
        <w:t xml:space="preserve">Контрольно-ревизионной комиссии </w:t>
      </w:r>
    </w:p>
    <w:p w:rsidR="006A2C1C" w:rsidRDefault="009A6A63">
      <w:r>
        <w:t>Партизанского района                                                                     А.С.Кальбина</w:t>
      </w:r>
    </w:p>
    <w:p w:rsidR="006A2C1C" w:rsidRDefault="006A2C1C"/>
    <w:sectPr w:rsidR="006A2C1C" w:rsidSect="00C138DB">
      <w:headerReference w:type="default" r:id="rId10"/>
      <w:footerReference w:type="even" r:id="rId11"/>
      <w:pgSz w:w="11906" w:h="16838"/>
      <w:pgMar w:top="1134" w:right="851" w:bottom="1134" w:left="1701" w:header="709" w:footer="2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19" w:rsidRDefault="009E3119">
      <w:r>
        <w:separator/>
      </w:r>
    </w:p>
  </w:endnote>
  <w:endnote w:type="continuationSeparator" w:id="0">
    <w:p w:rsidR="009E3119" w:rsidRDefault="009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DB" w:rsidRDefault="00C138DB">
    <w:pPr>
      <w:pStyle w:val="af5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C138DB" w:rsidRDefault="00C138DB">
    <w:pPr>
      <w:pStyle w:val="af5"/>
      <w:ind w:right="360"/>
    </w:pPr>
  </w:p>
  <w:p w:rsidR="00C138DB" w:rsidRDefault="00C138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19" w:rsidRDefault="009E3119">
      <w:r>
        <w:separator/>
      </w:r>
    </w:p>
  </w:footnote>
  <w:footnote w:type="continuationSeparator" w:id="0">
    <w:p w:rsidR="009E3119" w:rsidRDefault="009E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AC" w:rsidRDefault="00F27CA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755EF">
      <w:rPr>
        <w:noProof/>
      </w:rPr>
      <w:t>30</w:t>
    </w:r>
    <w:r>
      <w:fldChar w:fldCharType="end"/>
    </w:r>
  </w:p>
  <w:p w:rsidR="00F27CAC" w:rsidRDefault="00F27CA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182"/>
    <w:multiLevelType w:val="multilevel"/>
    <w:tmpl w:val="FAA4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E1CDF"/>
    <w:multiLevelType w:val="multilevel"/>
    <w:tmpl w:val="7DF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2BC73C0"/>
    <w:multiLevelType w:val="multilevel"/>
    <w:tmpl w:val="96E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6EA327A"/>
    <w:multiLevelType w:val="multilevel"/>
    <w:tmpl w:val="5D18D90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C7CAB"/>
    <w:multiLevelType w:val="multilevel"/>
    <w:tmpl w:val="EBEC79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5">
    <w:nsid w:val="18C5670D"/>
    <w:multiLevelType w:val="multilevel"/>
    <w:tmpl w:val="313C5764"/>
    <w:lvl w:ilvl="0">
      <w:start w:val="1"/>
      <w:numFmt w:val="decimal"/>
      <w:lvlText w:val="%1."/>
      <w:lvlJc w:val="left"/>
      <w:pPr>
        <w:ind w:left="1803" w:hanging="109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205FE3"/>
    <w:multiLevelType w:val="multilevel"/>
    <w:tmpl w:val="C2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2B8708F7"/>
    <w:multiLevelType w:val="multilevel"/>
    <w:tmpl w:val="51FA4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3D434A"/>
    <w:multiLevelType w:val="multilevel"/>
    <w:tmpl w:val="577A6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3CF3E74"/>
    <w:multiLevelType w:val="multilevel"/>
    <w:tmpl w:val="5A724536"/>
    <w:lvl w:ilvl="0">
      <w:start w:val="1"/>
      <w:numFmt w:val="bullet"/>
      <w:lvlText w:val=""/>
      <w:lvlJc w:val="left"/>
      <w:pPr>
        <w:ind w:left="149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58" w:hanging="360"/>
      </w:pPr>
      <w:rPr>
        <w:rFonts w:ascii="Wingdings" w:hAnsi="Wingdings"/>
      </w:rPr>
    </w:lvl>
  </w:abstractNum>
  <w:abstractNum w:abstractNumId="10">
    <w:nsid w:val="387632E8"/>
    <w:multiLevelType w:val="multilevel"/>
    <w:tmpl w:val="3D983CD6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/>
      </w:rPr>
    </w:lvl>
  </w:abstractNum>
  <w:abstractNum w:abstractNumId="11">
    <w:nsid w:val="398A16C6"/>
    <w:multiLevelType w:val="multilevel"/>
    <w:tmpl w:val="BC941F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9A237BF"/>
    <w:multiLevelType w:val="multilevel"/>
    <w:tmpl w:val="B1DA82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3">
    <w:nsid w:val="39E54B40"/>
    <w:multiLevelType w:val="multilevel"/>
    <w:tmpl w:val="59E06570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4">
    <w:nsid w:val="3B3B0B28"/>
    <w:multiLevelType w:val="multilevel"/>
    <w:tmpl w:val="7EA2B258"/>
    <w:lvl w:ilvl="0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>
    <w:nsid w:val="3CAD0C4F"/>
    <w:multiLevelType w:val="multilevel"/>
    <w:tmpl w:val="A4FE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A490D"/>
    <w:multiLevelType w:val="multilevel"/>
    <w:tmpl w:val="63DC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C6FEA"/>
    <w:multiLevelType w:val="multilevel"/>
    <w:tmpl w:val="4218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C785792"/>
    <w:multiLevelType w:val="multilevel"/>
    <w:tmpl w:val="74FE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E3266"/>
    <w:multiLevelType w:val="multilevel"/>
    <w:tmpl w:val="834A4CB0"/>
    <w:lvl w:ilvl="0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3410" w:hanging="432"/>
      </w:pPr>
    </w:lvl>
    <w:lvl w:ilvl="1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3554" w:hanging="576"/>
      </w:pPr>
    </w:lvl>
    <w:lvl w:ilvl="2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3698" w:hanging="720"/>
      </w:pPr>
    </w:lvl>
    <w:lvl w:ilvl="3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3842" w:hanging="864"/>
      </w:pPr>
    </w:lvl>
    <w:lvl w:ilvl="4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3986" w:hanging="1008"/>
      </w:pPr>
    </w:lvl>
    <w:lvl w:ilvl="5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4130" w:hanging="1152"/>
      </w:pPr>
    </w:lvl>
    <w:lvl w:ilvl="6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4274" w:hanging="1296"/>
      </w:pPr>
    </w:lvl>
    <w:lvl w:ilvl="7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4418" w:hanging="1440"/>
      </w:pPr>
    </w:lvl>
    <w:lvl w:ilvl="8">
      <w:start w:val="1"/>
      <w:numFmt w:val="decimal"/>
      <w:suff w:val="nothing"/>
      <w:lvlText w:val="堶ɀ退ί떧勎쀀Э⽬0蚥偓⺸E〰E⾬0硇偓硻偓줓⾨0"/>
      <w:lvlJc w:val="left"/>
      <w:pPr>
        <w:tabs>
          <w:tab w:val="num" w:pos="2978"/>
        </w:tabs>
        <w:ind w:left="4562" w:hanging="1584"/>
      </w:pPr>
    </w:lvl>
  </w:abstractNum>
  <w:abstractNum w:abstractNumId="20">
    <w:nsid w:val="4F9E267C"/>
    <w:multiLevelType w:val="multilevel"/>
    <w:tmpl w:val="21482C4C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/>
      </w:rPr>
    </w:lvl>
  </w:abstractNum>
  <w:abstractNum w:abstractNumId="21">
    <w:nsid w:val="509D5145"/>
    <w:multiLevelType w:val="multilevel"/>
    <w:tmpl w:val="FF5AB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5503607"/>
    <w:multiLevelType w:val="multilevel"/>
    <w:tmpl w:val="E8267AC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6147D9D"/>
    <w:multiLevelType w:val="multilevel"/>
    <w:tmpl w:val="6F20C2B0"/>
    <w:lvl w:ilvl="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402E3"/>
    <w:multiLevelType w:val="multilevel"/>
    <w:tmpl w:val="B91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58366A04"/>
    <w:multiLevelType w:val="multilevel"/>
    <w:tmpl w:val="C4268A1A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F0FF0"/>
    <w:multiLevelType w:val="multilevel"/>
    <w:tmpl w:val="52F2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41837"/>
    <w:multiLevelType w:val="multilevel"/>
    <w:tmpl w:val="5D82A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B047001"/>
    <w:multiLevelType w:val="multilevel"/>
    <w:tmpl w:val="4BA43FA2"/>
    <w:lvl w:ilvl="0">
      <w:start w:val="1"/>
      <w:numFmt w:val="bullet"/>
      <w:lvlText w:val=""/>
      <w:lvlJc w:val="left"/>
      <w:pPr>
        <w:ind w:left="147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1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3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7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39" w:hanging="360"/>
      </w:pPr>
      <w:rPr>
        <w:rFonts w:ascii="Wingdings" w:hAnsi="Wingdings"/>
      </w:rPr>
    </w:lvl>
  </w:abstractNum>
  <w:abstractNum w:abstractNumId="29">
    <w:nsid w:val="5E385B0C"/>
    <w:multiLevelType w:val="multilevel"/>
    <w:tmpl w:val="5B4C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4642AEC"/>
    <w:multiLevelType w:val="multilevel"/>
    <w:tmpl w:val="9608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9D09A2"/>
    <w:multiLevelType w:val="multilevel"/>
    <w:tmpl w:val="607CD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C835A0"/>
    <w:multiLevelType w:val="multilevel"/>
    <w:tmpl w:val="11B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494325B"/>
    <w:multiLevelType w:val="multilevel"/>
    <w:tmpl w:val="EFB8211C"/>
    <w:lvl w:ilvl="0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63"/>
        </w:tabs>
        <w:ind w:left="226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83"/>
        </w:tabs>
        <w:ind w:left="29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03"/>
        </w:tabs>
        <w:ind w:left="37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23"/>
        </w:tabs>
        <w:ind w:left="44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43"/>
        </w:tabs>
        <w:ind w:left="51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63"/>
        </w:tabs>
        <w:ind w:left="58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83"/>
        </w:tabs>
        <w:ind w:left="65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03"/>
        </w:tabs>
        <w:ind w:left="7303" w:hanging="360"/>
      </w:pPr>
      <w:rPr>
        <w:rFonts w:ascii="Wingdings" w:hAnsi="Wingdings"/>
      </w:rPr>
    </w:lvl>
  </w:abstractNum>
  <w:abstractNum w:abstractNumId="34">
    <w:nsid w:val="790F0AB3"/>
    <w:multiLevelType w:val="multilevel"/>
    <w:tmpl w:val="4A60D75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30"/>
  </w:num>
  <w:num w:numId="5">
    <w:abstractNumId w:val="34"/>
  </w:num>
  <w:num w:numId="6">
    <w:abstractNumId w:val="32"/>
  </w:num>
  <w:num w:numId="7">
    <w:abstractNumId w:val="24"/>
  </w:num>
  <w:num w:numId="8">
    <w:abstractNumId w:val="4"/>
  </w:num>
  <w:num w:numId="9">
    <w:abstractNumId w:val="2"/>
  </w:num>
  <w:num w:numId="10">
    <w:abstractNumId w:val="29"/>
  </w:num>
  <w:num w:numId="11">
    <w:abstractNumId w:val="10"/>
  </w:num>
  <w:num w:numId="12">
    <w:abstractNumId w:val="20"/>
  </w:num>
  <w:num w:numId="13">
    <w:abstractNumId w:val="1"/>
  </w:num>
  <w:num w:numId="14">
    <w:abstractNumId w:val="26"/>
  </w:num>
  <w:num w:numId="15">
    <w:abstractNumId w:val="15"/>
  </w:num>
  <w:num w:numId="16">
    <w:abstractNumId w:val="31"/>
  </w:num>
  <w:num w:numId="17">
    <w:abstractNumId w:val="16"/>
  </w:num>
  <w:num w:numId="18">
    <w:abstractNumId w:val="0"/>
  </w:num>
  <w:num w:numId="19">
    <w:abstractNumId w:val="17"/>
  </w:num>
  <w:num w:numId="20">
    <w:abstractNumId w:val="7"/>
  </w:num>
  <w:num w:numId="21">
    <w:abstractNumId w:val="25"/>
  </w:num>
  <w:num w:numId="22">
    <w:abstractNumId w:val="14"/>
  </w:num>
  <w:num w:numId="23">
    <w:abstractNumId w:val="33"/>
  </w:num>
  <w:num w:numId="24">
    <w:abstractNumId w:val="5"/>
  </w:num>
  <w:num w:numId="25">
    <w:abstractNumId w:val="27"/>
  </w:num>
  <w:num w:numId="26">
    <w:abstractNumId w:val="12"/>
  </w:num>
  <w:num w:numId="27">
    <w:abstractNumId w:val="9"/>
  </w:num>
  <w:num w:numId="28">
    <w:abstractNumId w:val="1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8"/>
  </w:num>
  <w:num w:numId="32">
    <w:abstractNumId w:val="21"/>
  </w:num>
  <w:num w:numId="33">
    <w:abstractNumId w:val="22"/>
  </w:num>
  <w:num w:numId="34">
    <w:abstractNumId w:val="11"/>
  </w:num>
  <w:num w:numId="35">
    <w:abstractNumId w:val="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C1C"/>
    <w:rsid w:val="004008EC"/>
    <w:rsid w:val="005D16FF"/>
    <w:rsid w:val="006A2C1C"/>
    <w:rsid w:val="006B2FC6"/>
    <w:rsid w:val="006B37F0"/>
    <w:rsid w:val="008A3CE6"/>
    <w:rsid w:val="008B4B3C"/>
    <w:rsid w:val="008B7BD8"/>
    <w:rsid w:val="009A6A63"/>
    <w:rsid w:val="009E3119"/>
    <w:rsid w:val="00AA07E5"/>
    <w:rsid w:val="00AA5855"/>
    <w:rsid w:val="00BC6EE4"/>
    <w:rsid w:val="00C138DB"/>
    <w:rsid w:val="00D05FEE"/>
    <w:rsid w:val="00D755EF"/>
    <w:rsid w:val="00DB20B2"/>
    <w:rsid w:val="00F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Subtle Reference"/>
    <w:uiPriority w:val="31"/>
    <w:qFormat/>
    <w:rPr>
      <w:smallCaps/>
      <w:color w:val="5A5A5A"/>
    </w:rPr>
  </w:style>
  <w:style w:type="character" w:styleId="a7">
    <w:name w:val="Book Titl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8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link w:val="a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uiPriority w:val="99"/>
    <w:qFormat/>
    <w:rPr>
      <w:rFonts w:ascii="Calibri" w:hAnsi="Calibri"/>
      <w:sz w:val="22"/>
      <w:szCs w:val="22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rPr>
      <w:color w:val="0000FF"/>
      <w:u w:val="single"/>
    </w:rPr>
  </w:style>
  <w:style w:type="paragraph" w:styleId="afa">
    <w:name w:val="footnote text"/>
    <w:basedOn w:val="a"/>
    <w:link w:val="11"/>
    <w:uiPriority w:val="99"/>
    <w:semiHidden/>
    <w:unhideWhenUsed/>
    <w:pPr>
      <w:spacing w:after="40"/>
    </w:pPr>
    <w:rPr>
      <w:sz w:val="18"/>
    </w:rPr>
  </w:style>
  <w:style w:type="character" w:customStyle="1" w:styleId="11">
    <w:name w:val="Текст сноски Знак1"/>
    <w:link w:val="afa"/>
    <w:uiPriority w:val="99"/>
    <w:rPr>
      <w:sz w:val="18"/>
    </w:rPr>
  </w:style>
  <w:style w:type="character" w:styleId="afb">
    <w:name w:val="footnote reference"/>
    <w:uiPriority w:val="99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</w:rPr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rPr>
      <w:lang w:eastAsia="zh-CN"/>
    </w:rPr>
  </w:style>
  <w:style w:type="paragraph" w:styleId="aff0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f1">
    <w:name w:val="page number"/>
    <w:basedOn w:val="a0"/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f3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1BodyTextIndent">
    <w:name w:val="Основной текст с отступом;подпись;Основной текст с отступом Знак;Нумерованный список !!;Надин стиль;Основной текст 1;Основной текст без отступа;Body Text Indent;Основной текст с отступом Знак Знак Знак Знак;Основной текст с отступом Знак Знак Знак"/>
    <w:basedOn w:val="a"/>
    <w:link w:val="11BodyTextIndent"/>
    <w:pPr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Pr>
      <w:rFonts w:ascii="Arial" w:hAnsi="Arial" w:cs="Arial"/>
    </w:rPr>
  </w:style>
  <w:style w:type="character" w:customStyle="1" w:styleId="11BodyTextIndent">
    <w:name w:val="Основной текст с отступом Знак1;подпись Знак;Основной текст с отступом Знак Знак;Нумерованный список !! Знак;Надин стиль Знак;Основной текст 1 Знак;Основной текст без отступа Знак;Body Text Indent Знак;Основной текст с отступом Знак Знак Знак Знак Знак"/>
    <w:link w:val="1BodyTextIndent"/>
    <w:rPr>
      <w:sz w:val="28"/>
      <w:lang w:val="ru-RU" w:eastAsia="ru-RU" w:bidi="ar-SA"/>
    </w:rPr>
  </w:style>
  <w:style w:type="paragraph" w:customStyle="1" w:styleId="aff4">
    <w:name w:val="Мой стиль Знак Знак"/>
    <w:basedOn w:val="a"/>
    <w:semiHidden/>
    <w:pPr>
      <w:ind w:firstLine="567"/>
      <w:jc w:val="both"/>
    </w:pPr>
    <w:rPr>
      <w:szCs w:val="20"/>
    </w:rPr>
  </w:style>
  <w:style w:type="paragraph" w:customStyle="1" w:styleId="aff5">
    <w:name w:val="ЭЭГ"/>
    <w:basedOn w:val="a"/>
    <w:pPr>
      <w:spacing w:line="360" w:lineRule="auto"/>
      <w:ind w:firstLine="720"/>
      <w:jc w:val="both"/>
    </w:p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sz w:val="24"/>
      <w:szCs w:val="24"/>
    </w:rPr>
  </w:style>
  <w:style w:type="paragraph" w:styleId="aff6">
    <w:name w:val="Body Text"/>
    <w:basedOn w:val="a"/>
    <w:link w:val="aff7"/>
    <w:uiPriority w:val="99"/>
    <w:pPr>
      <w:spacing w:after="120"/>
    </w:pPr>
    <w:rPr>
      <w:sz w:val="20"/>
      <w:szCs w:val="20"/>
    </w:rPr>
  </w:style>
  <w:style w:type="character" w:customStyle="1" w:styleId="aff7">
    <w:name w:val="Основной текст Знак"/>
    <w:basedOn w:val="a0"/>
    <w:link w:val="aff6"/>
    <w:uiPriority w:val="99"/>
  </w:style>
  <w:style w:type="paragraph" w:styleId="32">
    <w:name w:val="Body Text Indent 3"/>
    <w:basedOn w:val="a"/>
    <w:link w:val="33"/>
    <w:uiPriority w:val="99"/>
    <w:unhideWhenUsed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rPr>
      <w:rFonts w:ascii="Calibri" w:eastAsia="Calibri" w:hAnsi="Calibri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99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a">
    <w:name w:val="Абзац списка Знак"/>
    <w:link w:val="a9"/>
    <w:rPr>
      <w:rFonts w:ascii="Calibri" w:hAnsi="Calibri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FootnoteTextCharCharFootnoteTextCharCharCharCharFootnoteText1FootnoteTextCharCharCharFootnoteTextChar">
    <w:name w:val="Текст сноски;Footnote Text Char Char;Footnote Text Char Char Char Char;Footnote Text1;Footnote Text Char Char Char;Footnote Text Char"/>
    <w:basedOn w:val="a"/>
    <w:link w:val="1FootnoteTextCharCharFootnoteTextCharCharCharCharFootnoteText1FootnoteTextCharCharCharFootnoteTextChar"/>
    <w:uiPriority w:val="99"/>
    <w:rPr>
      <w:sz w:val="20"/>
      <w:szCs w:val="20"/>
    </w:rPr>
  </w:style>
  <w:style w:type="character" w:customStyle="1" w:styleId="aff8">
    <w:name w:val="Текст сноски Знак"/>
    <w:basedOn w:val="a0"/>
  </w:style>
  <w:style w:type="character" w:customStyle="1" w:styleId="1FootnoteTextCharCharFootnoteTextCharCharCharCharFootnoteText1FootnoteTextCharCharCharFootnoteTextChar">
    <w:name w:val="Текст сноски Знак1;Текст сноски Знак Знак;Footnote Text Char Char Знак;Footnote Text Char Char Char Char Знак;Footnote Text1 Знак;Footnote Text Char Char Char Знак;Footnote Text Char Знак"/>
    <w:link w:val="FootnoteTextCharCharFootnoteTextCharCharCharCharFootnoteText1FootnoteTextCharCharCharFootnoteTextChar"/>
  </w:style>
  <w:style w:type="paragraph" w:styleId="aff9">
    <w:name w:val="Body Text First Indent"/>
    <w:basedOn w:val="aff6"/>
    <w:link w:val="affa"/>
    <w:pPr>
      <w:ind w:firstLine="210"/>
    </w:pPr>
    <w:rPr>
      <w:sz w:val="24"/>
      <w:szCs w:val="24"/>
    </w:rPr>
  </w:style>
  <w:style w:type="character" w:customStyle="1" w:styleId="affa">
    <w:name w:val="Красная строка Знак"/>
    <w:link w:val="aff9"/>
    <w:rPr>
      <w:sz w:val="24"/>
      <w:szCs w:val="24"/>
    </w:rPr>
  </w:style>
  <w:style w:type="character" w:styleId="affb">
    <w:name w:val="Strong"/>
    <w:qFormat/>
    <w:rPr>
      <w:b/>
      <w:bCs/>
    </w:rPr>
  </w:style>
  <w:style w:type="character" w:customStyle="1" w:styleId="markedcontent">
    <w:name w:val="markedcontent"/>
  </w:style>
  <w:style w:type="character" w:styleId="affc">
    <w:name w:val="Emphasis"/>
    <w:uiPriority w:val="20"/>
    <w:qFormat/>
    <w:rPr>
      <w:i/>
      <w:iCs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  <w:lang w:eastAsia="ar-SA"/>
    </w:rPr>
  </w:style>
  <w:style w:type="character" w:customStyle="1" w:styleId="affd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affe">
    <w:name w:val="Основной текст_"/>
    <w:link w:val="42"/>
    <w:rPr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affe"/>
    <w:pPr>
      <w:widowControl w:val="0"/>
      <w:shd w:val="clear" w:color="auto" w:fill="FFFFFF"/>
      <w:spacing w:before="36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7FC7-53D5-4324-B631-1D720867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13660</Words>
  <Characters>77864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На основании требований Бюджетного Кодекса проведена экспертиза проекта бюджета Уярского района на 2005 год</vt:lpstr>
    </vt:vector>
  </TitlesOfParts>
  <Company>ADM</Company>
  <LinksUpToDate>false</LinksUpToDate>
  <CharactersWithSpaces>91342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На основании требований Бюджетного Кодекса проведена экспертиза проекта бюджета Уярского района на 2005 год</dc:title>
  <dc:creator>Deputat</dc:creator>
  <cp:lastModifiedBy>Консвик Ирина Александровна</cp:lastModifiedBy>
  <cp:revision>958</cp:revision>
  <cp:lastPrinted>2024-12-09T07:37:00Z</cp:lastPrinted>
  <dcterms:created xsi:type="dcterms:W3CDTF">2016-12-14T04:31:00Z</dcterms:created>
  <dcterms:modified xsi:type="dcterms:W3CDTF">2024-12-10T06:29:00Z</dcterms:modified>
  <cp:version>917504</cp:version>
</cp:coreProperties>
</file>