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contextualSpacing/>
        <w:ind w:left="6237"/>
        <w:jc w:val="center"/>
        <w:spacing w:before="86"/>
        <w:widowControl/>
        <w:tabs>
          <w:tab w:val="left" w:pos="5525" w:leader="underscore"/>
        </w:tabs>
      </w:pPr>
      <w:r/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ПРОТОКОЛ</w:t>
      </w:r>
      <w:r>
        <w:rPr>
          <w:rStyle w:val="816"/>
        </w:rPr>
      </w:r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общественных слушаний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contextualSpacing/>
        <w:jc w:val="center"/>
        <w:keepNext w:val="0"/>
        <w:spacing w:before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(дата оформления протокола)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Организатор</w:t>
      </w:r>
      <w:r>
        <w:rPr>
          <w:rStyle w:val="816"/>
          <w:sz w:val="26"/>
          <w:szCs w:val="26"/>
        </w:rPr>
        <w:t xml:space="preserve"> проведения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управление сельского хозяйства и экологии администрации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По </w:t>
      </w:r>
      <w:r>
        <w:rPr>
          <w:rStyle w:val="816"/>
          <w:sz w:val="26"/>
          <w:szCs w:val="26"/>
        </w:rPr>
        <w:t xml:space="preserve">проекту</w:t>
      </w:r>
      <w:r>
        <w:rPr>
          <w:rStyle w:val="81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контроля в области охраны и использования особо охраняемых природных территорий местного значения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Дата </w:t>
      </w:r>
      <w:r>
        <w:rPr>
          <w:rStyle w:val="816"/>
          <w:sz w:val="26"/>
          <w:szCs w:val="26"/>
        </w:rPr>
        <w:t xml:space="preserve">и источник </w:t>
      </w:r>
      <w:r>
        <w:rPr>
          <w:rStyle w:val="816"/>
          <w:sz w:val="26"/>
          <w:szCs w:val="26"/>
        </w:rPr>
        <w:t xml:space="preserve">оповещения о проведении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rStyle w:val="816"/>
          <w:sz w:val="26"/>
          <w:szCs w:val="26"/>
        </w:rPr>
        <w:t xml:space="preserve">: 25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Предложения и замечания </w:t>
      </w:r>
      <w:r>
        <w:rPr>
          <w:rStyle w:val="816"/>
          <w:sz w:val="26"/>
          <w:szCs w:val="26"/>
        </w:rPr>
        <w:t xml:space="preserve">участников общественных обсуждений </w:t>
      </w:r>
      <w:r>
        <w:rPr>
          <w:rStyle w:val="816"/>
          <w:sz w:val="26"/>
          <w:szCs w:val="26"/>
        </w:rPr>
        <w:t xml:space="preserve">по проекту </w:t>
      </w:r>
      <w:r>
        <w:rPr>
          <w:rStyle w:val="816"/>
          <w:sz w:val="26"/>
          <w:szCs w:val="26"/>
        </w:rPr>
        <w:t xml:space="preserve">принимались с 1 октября 2024 года</w:t>
      </w:r>
      <w:r>
        <w:rPr>
          <w:rStyle w:val="816"/>
          <w:sz w:val="26"/>
          <w:szCs w:val="26"/>
        </w:rPr>
        <w:t xml:space="preserve"> по 1 ноября</w:t>
      </w:r>
      <w:r>
        <w:rPr>
          <w:rStyle w:val="816"/>
          <w:sz w:val="26"/>
          <w:szCs w:val="26"/>
        </w:rPr>
        <w:t xml:space="preserve"> 2024 года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Территория, в пределах которой проводились общественные обсуждения:  территория Верховажского муниципального округа Вологодской области.</w:t>
      </w:r>
      <w:r>
        <w:rPr>
          <w:sz w:val="26"/>
          <w:szCs w:val="26"/>
        </w:rPr>
      </w:r>
      <w:r/>
    </w:p>
    <w:p>
      <w:pPr>
        <w:pStyle w:val="818"/>
        <w:contextualSpacing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51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85"/>
        <w:gridCol w:w="5225"/>
      </w:tblGrid>
      <w:tr>
        <w:trPr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граждан, являющихся участниками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иных участников общественных обсуждений или публичных слушаний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Приложение к протоколу: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перечень  принявших участие в рассмотрении проекта участников </w:t>
      </w:r>
      <w:r>
        <w:rPr>
          <w:rStyle w:val="816"/>
          <w:sz w:val="26"/>
          <w:szCs w:val="26"/>
        </w:rPr>
        <w:t xml:space="preserve">общественных обсуждений или </w:t>
      </w:r>
      <w:r>
        <w:rPr>
          <w:rStyle w:val="816"/>
          <w:sz w:val="26"/>
          <w:szCs w:val="26"/>
        </w:rPr>
        <w:t xml:space="preserve">публичных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слушаний на 1  листе.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i/>
          <w:sz w:val="26"/>
          <w:szCs w:val="26"/>
        </w:rPr>
        <w:t xml:space="preserve">В случае проведения публичных слушаний: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Style w:val="817"/>
          <w:sz w:val="26"/>
          <w:szCs w:val="26"/>
          <w:highlight w:val="none"/>
        </w:rPr>
      </w:pPr>
      <w:r>
        <w:rPr>
          <w:rStyle w:val="817"/>
          <w:sz w:val="26"/>
          <w:szCs w:val="26"/>
        </w:rPr>
        <w:t xml:space="preserve">Начальник Управления сельского хозяйства и экологии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  <w:u w:val="singl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Г.В. Шаманин</w:t>
      </w:r>
      <w:r>
        <w:rPr>
          <w:rStyle w:val="817"/>
          <w:sz w:val="26"/>
          <w:szCs w:val="26"/>
          <w:highlight w:val="none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20"/>
        <w:contextualSpacing/>
        <w:ind w:left="2227" w:right="2203"/>
        <w:spacing w:before="82"/>
        <w:widowControl/>
        <w:tabs>
          <w:tab w:val="left" w:pos="2784" w:leader="underscore"/>
          <w:tab w:val="left" w:pos="4397" w:leader="underscore"/>
          <w:tab w:val="left" w:pos="5026" w:leader="underscore"/>
          <w:tab w:val="left" w:pos="8006" w:leader="underscore"/>
        </w:tabs>
        <w:rPr>
          <w:rStyle w:val="816"/>
          <w:b/>
          <w:bCs/>
          <w:sz w:val="28"/>
          <w:szCs w:val="28"/>
          <w:highlight w:val="none"/>
        </w:rPr>
      </w:pPr>
      <w:r>
        <w:rPr>
          <w:rStyle w:val="816"/>
          <w:b/>
          <w:sz w:val="28"/>
          <w:szCs w:val="28"/>
        </w:rPr>
        <w:t xml:space="preserve">ЗАКЛЮЧЕНИЕ</w:t>
      </w:r>
      <w:r>
        <w:rPr>
          <w:rStyle w:val="816"/>
          <w:b/>
          <w:sz w:val="28"/>
          <w:szCs w:val="28"/>
        </w:rPr>
        <w:br/>
        <w:t xml:space="preserve">о результатах </w:t>
      </w:r>
      <w:r>
        <w:rPr>
          <w:rStyle w:val="816"/>
          <w:b/>
          <w:sz w:val="28"/>
          <w:szCs w:val="28"/>
        </w:rPr>
        <w:t xml:space="preserve">общественных обсуждений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2024года</w:t>
      </w:r>
      <w:r/>
    </w:p>
    <w:p>
      <w:pPr>
        <w:pStyle w:val="634"/>
        <w:contextualSpacing/>
        <w:jc w:val="center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(дата оформления заключения)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Организатор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проведения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управление сельского хозя</w:t>
      </w:r>
      <w:r>
        <w:rPr>
          <w:rFonts w:ascii="Times New Roman" w:hAnsi="Times New Roman" w:cs="Times New Roman"/>
          <w:sz w:val="26"/>
          <w:szCs w:val="26"/>
        </w:rPr>
        <w:t xml:space="preserve">йства и экологии администрации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По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2025 год при осуществлении муниципального контроля в области охраны и использования особо охраняемых природных территорий местного значения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Style w:val="816"/>
          <w:rFonts w:ascii="Times New Roman" w:hAnsi="Times New Roman" w:cs="Times New Roman"/>
          <w:sz w:val="26"/>
          <w:szCs w:val="26"/>
          <w:highlight w:val="none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и источник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оповещения о проведении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: 25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  <w:t xml:space="preserve">Замечаний и предложений по проекту не поступило.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 по  результатам  общественных  обсуждений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: общественные обсуждения считать состоявшимися.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к утверждению проект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2025 год при осуществлении муниципального контроля в области охраны и использования особо охраняемых природных территорий местного значения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Опубликовать протокол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заключение о результатах общественных обсуждений в порядке, установленном для официального опубликования муниципальных правовых актов, и разместить на офи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циальном сайте Верховажского муниципального округа  в сети «Интернет», на Платформе обратной связи.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</w:rPr>
      </w:pPr>
      <w:r>
        <w:rPr>
          <w:rStyle w:val="817"/>
          <w:rFonts w:ascii="Times New Roman" w:hAnsi="Times New Roman" w:cs="Times New Roman"/>
          <w:sz w:val="26"/>
          <w:szCs w:val="26"/>
        </w:rPr>
        <w:t xml:space="preserve">Начальник Управления сельского хозяйства и экологии</w:t>
      </w:r>
      <w:r>
        <w:rPr>
          <w:rStyle w:val="817"/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Г.В. Шаманин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2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Font Style28"/>
    <w:uiPriority w:val="99"/>
    <w:rPr>
      <w:rFonts w:ascii="Times New Roman" w:hAnsi="Times New Roman" w:cs="Times New Roman"/>
      <w:sz w:val="22"/>
      <w:szCs w:val="22"/>
    </w:rPr>
  </w:style>
  <w:style w:type="paragraph" w:styleId="818" w:customStyle="1">
    <w:name w:val="Style1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11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2024-11-03T11:37:03Z</dcterms:modified>
</cp:coreProperties>
</file>