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08765" w14:textId="77777777" w:rsidR="007A134B" w:rsidRPr="007608F7" w:rsidRDefault="007A134B" w:rsidP="00EB4484">
      <w:pPr>
        <w:pStyle w:val="9"/>
        <w:widowControl w:val="0"/>
        <w:ind w:firstLine="0"/>
        <w:jc w:val="center"/>
        <w:rPr>
          <w:sz w:val="28"/>
          <w:szCs w:val="28"/>
          <w:u w:val="none"/>
        </w:rPr>
      </w:pPr>
    </w:p>
    <w:p w14:paraId="51DFECDA" w14:textId="2B4BDED6" w:rsidR="00421F4D" w:rsidRPr="007608F7" w:rsidRDefault="00421F4D" w:rsidP="00EB4484">
      <w:pPr>
        <w:pStyle w:val="9"/>
        <w:widowControl w:val="0"/>
        <w:ind w:firstLine="0"/>
        <w:jc w:val="center"/>
        <w:rPr>
          <w:sz w:val="28"/>
          <w:szCs w:val="28"/>
          <w:u w:val="none"/>
        </w:rPr>
      </w:pPr>
      <w:r w:rsidRPr="007608F7">
        <w:rPr>
          <w:sz w:val="28"/>
          <w:szCs w:val="28"/>
          <w:u w:val="none"/>
        </w:rPr>
        <w:t xml:space="preserve">Доходы бюджета города на </w:t>
      </w:r>
      <w:r w:rsidR="00DE0A2B" w:rsidRPr="007608F7">
        <w:rPr>
          <w:sz w:val="28"/>
          <w:szCs w:val="28"/>
          <w:u w:val="none"/>
        </w:rPr>
        <w:t>2024</w:t>
      </w:r>
      <w:r w:rsidR="004A1066" w:rsidRPr="007608F7">
        <w:rPr>
          <w:sz w:val="28"/>
          <w:szCs w:val="28"/>
          <w:u w:val="none"/>
        </w:rPr>
        <w:t> </w:t>
      </w:r>
      <w:r w:rsidR="00EB0EC8" w:rsidRPr="007608F7">
        <w:rPr>
          <w:sz w:val="28"/>
          <w:szCs w:val="28"/>
          <w:u w:val="none"/>
        </w:rPr>
        <w:t xml:space="preserve">год и плановый период </w:t>
      </w:r>
      <w:r w:rsidR="00DE0A2B" w:rsidRPr="007608F7">
        <w:rPr>
          <w:sz w:val="28"/>
          <w:szCs w:val="28"/>
          <w:u w:val="none"/>
        </w:rPr>
        <w:t>2025</w:t>
      </w:r>
      <w:r w:rsidR="002E4F7E" w:rsidRPr="007608F7">
        <w:rPr>
          <w:sz w:val="28"/>
          <w:szCs w:val="28"/>
          <w:u w:val="none"/>
        </w:rPr>
        <w:t>-</w:t>
      </w:r>
      <w:r w:rsidR="00DE0A2B" w:rsidRPr="007608F7">
        <w:rPr>
          <w:sz w:val="28"/>
          <w:szCs w:val="28"/>
          <w:u w:val="none"/>
        </w:rPr>
        <w:t>2026</w:t>
      </w:r>
      <w:r w:rsidR="004A1066" w:rsidRPr="007608F7">
        <w:rPr>
          <w:sz w:val="28"/>
          <w:szCs w:val="28"/>
          <w:u w:val="none"/>
        </w:rPr>
        <w:t> </w:t>
      </w:r>
      <w:r w:rsidR="00EB0EC8" w:rsidRPr="007608F7">
        <w:rPr>
          <w:sz w:val="28"/>
          <w:szCs w:val="28"/>
          <w:u w:val="none"/>
        </w:rPr>
        <w:t>годов</w:t>
      </w:r>
    </w:p>
    <w:p w14:paraId="168E4A8E" w14:textId="4746E464" w:rsidR="00421F4D" w:rsidRPr="007608F7" w:rsidRDefault="00421F4D" w:rsidP="00EB4484">
      <w:pPr>
        <w:keepNext/>
        <w:rPr>
          <w:sz w:val="20"/>
          <w:szCs w:val="20"/>
        </w:rPr>
      </w:pPr>
    </w:p>
    <w:p w14:paraId="05B49ABC" w14:textId="77777777" w:rsidR="007A134B" w:rsidRPr="007608F7" w:rsidRDefault="007A134B" w:rsidP="00EB4484">
      <w:pPr>
        <w:keepNext/>
        <w:rPr>
          <w:sz w:val="20"/>
          <w:szCs w:val="20"/>
        </w:rPr>
      </w:pPr>
    </w:p>
    <w:p w14:paraId="6BCED784" w14:textId="091AF136" w:rsidR="00421F4D" w:rsidRPr="007608F7" w:rsidRDefault="00421F4D" w:rsidP="00EB4484">
      <w:pPr>
        <w:keepNext/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При подготовке прогноза доходов на </w:t>
      </w:r>
      <w:r w:rsidR="00DE0A2B" w:rsidRPr="007608F7">
        <w:rPr>
          <w:sz w:val="28"/>
          <w:szCs w:val="28"/>
        </w:rPr>
        <w:t>2024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и на плановый период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 </w:t>
      </w:r>
      <w:r w:rsidR="00411751" w:rsidRPr="007608F7">
        <w:rPr>
          <w:sz w:val="28"/>
          <w:szCs w:val="28"/>
        </w:rPr>
        <w:t>–</w:t>
      </w:r>
      <w:r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2026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годов учтены положения:</w:t>
      </w:r>
    </w:p>
    <w:p w14:paraId="792ECA0D" w14:textId="682D9312" w:rsidR="006E05A6" w:rsidRPr="007608F7" w:rsidRDefault="00E52F28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Закона Иркутской области</w:t>
      </w:r>
      <w:r w:rsidR="00147F8B" w:rsidRPr="007608F7">
        <w:rPr>
          <w:sz w:val="28"/>
          <w:szCs w:val="28"/>
        </w:rPr>
        <w:t xml:space="preserve"> </w:t>
      </w:r>
      <w:bookmarkStart w:id="0" w:name="_Hlk118907011"/>
      <w:r w:rsidR="00421F4D" w:rsidRPr="007608F7">
        <w:rPr>
          <w:sz w:val="28"/>
          <w:szCs w:val="28"/>
        </w:rPr>
        <w:t xml:space="preserve">«Об областном бюджете на </w:t>
      </w:r>
      <w:r w:rsidR="00DE0A2B" w:rsidRPr="007608F7">
        <w:rPr>
          <w:sz w:val="28"/>
          <w:szCs w:val="28"/>
        </w:rPr>
        <w:t>2024</w:t>
      </w:r>
      <w:r w:rsidR="004A1066" w:rsidRPr="007608F7">
        <w:rPr>
          <w:sz w:val="28"/>
          <w:szCs w:val="28"/>
        </w:rPr>
        <w:t> </w:t>
      </w:r>
      <w:r w:rsidR="00421F4D" w:rsidRPr="007608F7">
        <w:rPr>
          <w:sz w:val="28"/>
          <w:szCs w:val="28"/>
        </w:rPr>
        <w:t xml:space="preserve">год и плановый период </w:t>
      </w:r>
      <w:r w:rsidR="00DE0A2B" w:rsidRPr="007608F7">
        <w:rPr>
          <w:sz w:val="28"/>
          <w:szCs w:val="28"/>
        </w:rPr>
        <w:t>2025</w:t>
      </w:r>
      <w:r w:rsidR="00181E92" w:rsidRPr="007608F7">
        <w:rPr>
          <w:sz w:val="28"/>
          <w:szCs w:val="28"/>
        </w:rPr>
        <w:t xml:space="preserve"> </w:t>
      </w:r>
      <w:r w:rsidR="00421F4D" w:rsidRPr="007608F7">
        <w:rPr>
          <w:sz w:val="28"/>
          <w:szCs w:val="28"/>
        </w:rPr>
        <w:t xml:space="preserve">и </w:t>
      </w:r>
      <w:r w:rsidR="00DE0A2B" w:rsidRPr="007608F7">
        <w:rPr>
          <w:sz w:val="28"/>
          <w:szCs w:val="28"/>
        </w:rPr>
        <w:t>2026</w:t>
      </w:r>
      <w:r w:rsidR="004A1066" w:rsidRPr="007608F7">
        <w:rPr>
          <w:sz w:val="28"/>
          <w:szCs w:val="28"/>
        </w:rPr>
        <w:t> </w:t>
      </w:r>
      <w:r w:rsidR="00421F4D" w:rsidRPr="007608F7">
        <w:rPr>
          <w:sz w:val="28"/>
          <w:szCs w:val="28"/>
        </w:rPr>
        <w:t>годов</w:t>
      </w:r>
      <w:r w:rsidR="00CD2215" w:rsidRPr="007608F7">
        <w:rPr>
          <w:sz w:val="28"/>
          <w:szCs w:val="28"/>
        </w:rPr>
        <w:t xml:space="preserve">» </w:t>
      </w:r>
      <w:bookmarkEnd w:id="0"/>
      <w:r w:rsidR="00421F4D" w:rsidRPr="007608F7">
        <w:rPr>
          <w:sz w:val="28"/>
          <w:szCs w:val="28"/>
        </w:rPr>
        <w:t xml:space="preserve">(в части установления объемов </w:t>
      </w:r>
      <w:r w:rsidR="009C0A2D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2E4F7E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1E531E" w:rsidRPr="007608F7">
        <w:rPr>
          <w:sz w:val="28"/>
          <w:szCs w:val="28"/>
        </w:rPr>
        <w:t> </w:t>
      </w:r>
      <w:r w:rsidR="009C0A2D" w:rsidRPr="007608F7">
        <w:rPr>
          <w:sz w:val="28"/>
          <w:szCs w:val="28"/>
        </w:rPr>
        <w:t xml:space="preserve">годы </w:t>
      </w:r>
      <w:r w:rsidR="00421F4D" w:rsidRPr="007608F7">
        <w:rPr>
          <w:sz w:val="28"/>
          <w:szCs w:val="28"/>
        </w:rPr>
        <w:t>распределения межбюджетных трансфертов из областного бюджета местным бюджетам</w:t>
      </w:r>
      <w:r w:rsidR="00DB4F2A" w:rsidRPr="007608F7">
        <w:rPr>
          <w:sz w:val="28"/>
          <w:szCs w:val="28"/>
        </w:rPr>
        <w:t xml:space="preserve">, </w:t>
      </w:r>
      <w:r w:rsidR="009C0A2D" w:rsidRPr="007608F7">
        <w:rPr>
          <w:sz w:val="28"/>
          <w:szCs w:val="28"/>
        </w:rPr>
        <w:t>дифференцированных нормативов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B4F2A" w:rsidRPr="007608F7">
        <w:rPr>
          <w:sz w:val="28"/>
          <w:szCs w:val="28"/>
        </w:rPr>
        <w:t xml:space="preserve"> и дифференцированных нормативов отчислений от налога, взимаемого в связи с применением упрощенной системы налогообложения)</w:t>
      </w:r>
      <w:r w:rsidR="006E05A6" w:rsidRPr="007608F7">
        <w:rPr>
          <w:sz w:val="28"/>
          <w:szCs w:val="28"/>
        </w:rPr>
        <w:t>;</w:t>
      </w:r>
    </w:p>
    <w:p w14:paraId="130A5288" w14:textId="691F39D0" w:rsidR="008D43FE" w:rsidRPr="007608F7" w:rsidRDefault="00421F4D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Решения Думы города Усолье-Сибирское </w:t>
      </w:r>
      <w:r w:rsidR="0012615A" w:rsidRPr="007608F7">
        <w:rPr>
          <w:sz w:val="28"/>
          <w:szCs w:val="28"/>
        </w:rPr>
        <w:t xml:space="preserve">от 28.09.2023 г. № 69/8 </w:t>
      </w:r>
      <w:r w:rsidR="00577294" w:rsidRPr="007608F7">
        <w:rPr>
          <w:sz w:val="28"/>
          <w:szCs w:val="28"/>
        </w:rPr>
        <w:t>«</w:t>
      </w:r>
      <w:r w:rsidR="0012615A" w:rsidRPr="007608F7">
        <w:rPr>
          <w:sz w:val="28"/>
          <w:szCs w:val="28"/>
        </w:rPr>
        <w:t>Об утверждении прогнозного плана (программы) приватизации муниципального имущества города</w:t>
      </w:r>
      <w:r w:rsidR="008D43FE" w:rsidRPr="007608F7">
        <w:rPr>
          <w:sz w:val="28"/>
          <w:szCs w:val="28"/>
        </w:rPr>
        <w:t xml:space="preserve"> Усолье-Сибирское на </w:t>
      </w:r>
      <w:r w:rsidR="00DE0A2B" w:rsidRPr="007608F7">
        <w:rPr>
          <w:sz w:val="28"/>
          <w:szCs w:val="28"/>
        </w:rPr>
        <w:t>2024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и плановый период </w:t>
      </w:r>
      <w:r w:rsidR="00DB4F2A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="001C6359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 xml:space="preserve"> годы» (в части прогнозирования поступлений от реализации муниципального </w:t>
      </w:r>
      <w:r w:rsidR="00DB4F2A" w:rsidRPr="007608F7">
        <w:rPr>
          <w:sz w:val="28"/>
          <w:szCs w:val="28"/>
        </w:rPr>
        <w:t xml:space="preserve">имущества на </w:t>
      </w:r>
      <w:r w:rsidR="00DE0A2B" w:rsidRPr="007608F7">
        <w:rPr>
          <w:sz w:val="28"/>
          <w:szCs w:val="28"/>
        </w:rPr>
        <w:t>2024</w:t>
      </w:r>
      <w:r w:rsidR="00DB4F2A" w:rsidRPr="007608F7">
        <w:rPr>
          <w:sz w:val="28"/>
          <w:szCs w:val="28"/>
        </w:rPr>
        <w:t xml:space="preserve"> год и плановый период </w:t>
      </w:r>
      <w:r w:rsidR="00DE0A2B" w:rsidRPr="007608F7">
        <w:rPr>
          <w:sz w:val="28"/>
          <w:szCs w:val="28"/>
        </w:rPr>
        <w:t>2025</w:t>
      </w:r>
      <w:r w:rsidR="00DB4F2A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DB4F2A" w:rsidRPr="007608F7">
        <w:rPr>
          <w:sz w:val="28"/>
          <w:szCs w:val="28"/>
        </w:rPr>
        <w:t xml:space="preserve"> годов</w:t>
      </w:r>
      <w:r w:rsidRPr="007608F7">
        <w:rPr>
          <w:sz w:val="28"/>
          <w:szCs w:val="28"/>
        </w:rPr>
        <w:t>)</w:t>
      </w:r>
      <w:r w:rsidR="008D43FE" w:rsidRPr="007608F7">
        <w:rPr>
          <w:sz w:val="28"/>
          <w:szCs w:val="28"/>
        </w:rPr>
        <w:t>;</w:t>
      </w:r>
    </w:p>
    <w:p w14:paraId="2CE3B2D8" w14:textId="01D24ED2" w:rsidR="00595447" w:rsidRPr="007608F7" w:rsidRDefault="00595447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Закона Иркутской области от 26.10.2023 № 122-ОЗ «О внесении изменений в Закон Иркутской области «О межбюджетных трансфертах и нормативах отчислений доходов в местные бюджеты» (в части установления единых нормативов отчислений от УСН в бюджеты городских округов в размере 50 процентов от объема доходов по данному виду налога, подлежащего зачислению с территории соответствующего городского округа в консолидированный бюджет Иркутской области).</w:t>
      </w:r>
    </w:p>
    <w:p w14:paraId="67CD6FA1" w14:textId="32517CD8" w:rsidR="00421F4D" w:rsidRPr="007608F7" w:rsidRDefault="00421F4D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доходов бюджета города на </w:t>
      </w:r>
      <w:r w:rsidR="00DE0A2B" w:rsidRPr="007608F7">
        <w:rPr>
          <w:sz w:val="28"/>
          <w:szCs w:val="28"/>
        </w:rPr>
        <w:t>2024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и на плановый период </w:t>
      </w:r>
      <w:r w:rsidR="00DE0A2B" w:rsidRPr="007608F7">
        <w:rPr>
          <w:sz w:val="28"/>
          <w:szCs w:val="28"/>
        </w:rPr>
        <w:t>2025</w:t>
      </w:r>
      <w:r w:rsidR="002E4F7E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годов осуществлен с учетом прогноза социально-экономического развития муниципального образования «город Усолье-Сибирское» на </w:t>
      </w:r>
      <w:r w:rsidR="00DE0A2B" w:rsidRPr="007608F7">
        <w:rPr>
          <w:sz w:val="28"/>
          <w:szCs w:val="28"/>
        </w:rPr>
        <w:t>2024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и плановый период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 и </w:t>
      </w:r>
      <w:r w:rsidR="00DE0A2B" w:rsidRPr="007608F7">
        <w:rPr>
          <w:sz w:val="28"/>
          <w:szCs w:val="28"/>
        </w:rPr>
        <w:t>2026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годов, утвержденного распоряжением администрации города Усолье-Сибирское</w:t>
      </w:r>
      <w:r w:rsidR="007C67F4" w:rsidRPr="007608F7">
        <w:rPr>
          <w:sz w:val="28"/>
          <w:szCs w:val="28"/>
        </w:rPr>
        <w:t>.</w:t>
      </w:r>
    </w:p>
    <w:p w14:paraId="4F406395" w14:textId="77777777" w:rsidR="007C67F4" w:rsidRPr="007608F7" w:rsidRDefault="007C67F4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В соответствии с бюджетными полномочиями, установленными статьей 160.1 Бюджетного кодекса Российской Федерации, главными администраторами доходов бюджета города утверждены методики прогнозирования поступлений доходов в бюджет.</w:t>
      </w:r>
    </w:p>
    <w:p w14:paraId="74391AC6" w14:textId="7CA0DFEE" w:rsidR="007C67F4" w:rsidRPr="007608F7" w:rsidRDefault="007C67F4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Общими требованиями к таким методикам, установленными постановлением Правительства Российской Федерации от 23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июня 2016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года</w:t>
      </w:r>
      <w:r w:rsidR="004A1066" w:rsidRPr="007608F7">
        <w:rPr>
          <w:sz w:val="28"/>
          <w:szCs w:val="28"/>
        </w:rPr>
        <w:t xml:space="preserve"> № </w:t>
      </w:r>
      <w:r w:rsidRPr="007608F7">
        <w:rPr>
          <w:sz w:val="28"/>
          <w:szCs w:val="28"/>
        </w:rPr>
        <w:t>574 «Об общих требованиях к методике прогнозирования поступлений доходов в бюджеты бюджетной системы Российской Федерации», определено, что в случаях, когда прогноз соответствующего вида доходов предусматривает использование показателей социально-экономического развития, расчет планового показателя главным администратором доходов должен основываться на показателях прогноза социально-экономического развития</w:t>
      </w:r>
      <w:r w:rsidR="007F1B0D" w:rsidRPr="007608F7">
        <w:rPr>
          <w:sz w:val="28"/>
          <w:szCs w:val="28"/>
        </w:rPr>
        <w:t xml:space="preserve"> на среднесрочный период</w:t>
      </w:r>
      <w:r w:rsidRPr="007608F7">
        <w:rPr>
          <w:sz w:val="28"/>
          <w:szCs w:val="28"/>
        </w:rPr>
        <w:t>.</w:t>
      </w:r>
    </w:p>
    <w:p w14:paraId="42BBB229" w14:textId="77777777" w:rsidR="007A134B" w:rsidRPr="007608F7" w:rsidRDefault="007A134B" w:rsidP="00EB4484">
      <w:pPr>
        <w:widowControl w:val="0"/>
        <w:spacing w:line="228" w:lineRule="auto"/>
        <w:ind w:firstLine="720"/>
        <w:jc w:val="both"/>
        <w:rPr>
          <w:sz w:val="10"/>
          <w:szCs w:val="10"/>
        </w:rPr>
      </w:pPr>
    </w:p>
    <w:p w14:paraId="4DC5215A" w14:textId="5DA77007" w:rsidR="00110C20" w:rsidRPr="007608F7" w:rsidRDefault="00110C20" w:rsidP="00EB4484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Основные </w:t>
      </w:r>
      <w:r w:rsidR="00AE3B7B" w:rsidRPr="007608F7">
        <w:rPr>
          <w:sz w:val="28"/>
          <w:szCs w:val="28"/>
        </w:rPr>
        <w:t>параметры</w:t>
      </w:r>
      <w:r w:rsidRPr="007608F7">
        <w:rPr>
          <w:sz w:val="28"/>
          <w:szCs w:val="28"/>
        </w:rPr>
        <w:t xml:space="preserve"> прогноза поступлений доходов в бюджет </w:t>
      </w:r>
      <w:r w:rsidR="00E75CD0" w:rsidRPr="007608F7">
        <w:rPr>
          <w:sz w:val="28"/>
          <w:szCs w:val="28"/>
        </w:rPr>
        <w:t xml:space="preserve">города </w:t>
      </w:r>
      <w:r w:rsidR="00AE3B7B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AE3B7B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и на плановый период </w:t>
      </w:r>
      <w:r w:rsidR="00DE0A2B" w:rsidRPr="007608F7">
        <w:rPr>
          <w:sz w:val="28"/>
          <w:szCs w:val="28"/>
        </w:rPr>
        <w:t>2025</w:t>
      </w:r>
      <w:r w:rsidR="002E4F7E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4A106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годов</w:t>
      </w:r>
      <w:r w:rsidR="006F4D48" w:rsidRPr="007608F7">
        <w:rPr>
          <w:sz w:val="28"/>
          <w:szCs w:val="28"/>
        </w:rPr>
        <w:t xml:space="preserve">: </w:t>
      </w:r>
    </w:p>
    <w:p w14:paraId="1E9D6A9D" w14:textId="77777777" w:rsidR="00CE7F8E" w:rsidRPr="007608F7" w:rsidRDefault="00CE7F8E" w:rsidP="00EB4484">
      <w:pPr>
        <w:pStyle w:val="ac"/>
        <w:widowControl w:val="0"/>
        <w:spacing w:line="228" w:lineRule="auto"/>
        <w:ind w:firstLine="709"/>
        <w:rPr>
          <w:b w:val="0"/>
          <w:sz w:val="10"/>
          <w:szCs w:val="10"/>
        </w:rPr>
      </w:pPr>
    </w:p>
    <w:tbl>
      <w:tblPr>
        <w:tblW w:w="10774" w:type="dxa"/>
        <w:tblInd w:w="-43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697"/>
        <w:gridCol w:w="1713"/>
        <w:gridCol w:w="1701"/>
      </w:tblGrid>
      <w:tr w:rsidR="007608F7" w:rsidRPr="007608F7" w14:paraId="3B6A3319" w14:textId="77777777" w:rsidTr="0000175A">
        <w:trPr>
          <w:trHeight w:val="343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0FD89D" w14:textId="139665C2" w:rsidR="0000175A" w:rsidRPr="007608F7" w:rsidRDefault="0000175A" w:rsidP="00EB4484">
            <w:pPr>
              <w:keepNext/>
              <w:ind w:left="-57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lastRenderedPageBreak/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AEC4" w14:textId="5CF3AC40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63BB" w14:textId="7F143CF3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BE32" w14:textId="4EFD8769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2024 г.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6605" w14:textId="1DB491FD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Темп роста,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B059" w14:textId="525FF576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2025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1AB3" w14:textId="4EFAE72A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2026 г.</w:t>
            </w:r>
          </w:p>
        </w:tc>
      </w:tr>
      <w:tr w:rsidR="007608F7" w:rsidRPr="007608F7" w14:paraId="4FB73E57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371979" w14:textId="31599EE4" w:rsidR="0000175A" w:rsidRPr="007608F7" w:rsidRDefault="0000175A" w:rsidP="00EB4484">
            <w:pPr>
              <w:keepNext/>
              <w:ind w:left="-57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3D88" w14:textId="62D94C0F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факт 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4693" w14:textId="6F9D3487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оценка 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49C5" w14:textId="626C0941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0424" w14:textId="0E3D93EB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%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94CC" w14:textId="69CBFC85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2708" w14:textId="02F447CB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прогноз (руб.)</w:t>
            </w:r>
          </w:p>
        </w:tc>
      </w:tr>
      <w:tr w:rsidR="007608F7" w:rsidRPr="007608F7" w14:paraId="6633AD68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F60AE" w14:textId="7C17E798" w:rsidR="0000175A" w:rsidRPr="007608F7" w:rsidRDefault="0000175A" w:rsidP="00EB4484">
            <w:pPr>
              <w:keepNext/>
              <w:ind w:left="-57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BB37" w14:textId="01B333DA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1C2D" w14:textId="685CAD39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B31A" w14:textId="10723C0F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D498" w14:textId="2A878748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B7A4" w14:textId="1E773C2F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E220" w14:textId="1B097FBF" w:rsidR="0000175A" w:rsidRPr="007608F7" w:rsidRDefault="0000175A" w:rsidP="00EB4484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7</w:t>
            </w:r>
          </w:p>
        </w:tc>
      </w:tr>
      <w:tr w:rsidR="007608F7" w:rsidRPr="007608F7" w14:paraId="5653AAE1" w14:textId="77777777" w:rsidTr="0000175A">
        <w:trPr>
          <w:trHeight w:val="8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04911" w14:textId="17F9AD9F" w:rsidR="0000175A" w:rsidRPr="007608F7" w:rsidRDefault="0000175A" w:rsidP="00EB4484">
            <w:pPr>
              <w:keepNext/>
              <w:ind w:left="-108" w:right="-109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Налоговые и неналоговые,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0CA9" w14:textId="18A5DBB2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665 275 953,07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7010" w14:textId="01FB3017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895 923 275,92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BFEB" w14:textId="27A3AD5F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770 204 110,18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9DB9" w14:textId="00E47338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85,97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85B8" w14:textId="3B70FC61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804 070 598,23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B092" w14:textId="1C295E74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836 589 047,09</w:t>
            </w:r>
          </w:p>
        </w:tc>
      </w:tr>
      <w:tr w:rsidR="007608F7" w:rsidRPr="007608F7" w14:paraId="78102250" w14:textId="77777777" w:rsidTr="0000175A">
        <w:trPr>
          <w:trHeight w:val="6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4B69" w14:textId="69DC37FC" w:rsidR="0000175A" w:rsidRPr="007608F7" w:rsidRDefault="001E311F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D489" w14:textId="35222D4C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539 058 468,37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59FF" w14:textId="0E42B6E8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605 773 009,25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5764" w14:textId="444F7F75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680 317 069,73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634F" w14:textId="0D5E8150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112,31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8838" w14:textId="2413917E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714 573 894,36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A0DD" w14:textId="1C05CCAE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750 979 157,76</w:t>
            </w:r>
          </w:p>
        </w:tc>
      </w:tr>
      <w:tr w:rsidR="007608F7" w:rsidRPr="007608F7" w14:paraId="2F288584" w14:textId="77777777" w:rsidTr="0000175A">
        <w:trPr>
          <w:trHeight w:val="6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143B6" w14:textId="40467FD4" w:rsidR="0000175A" w:rsidRPr="007608F7" w:rsidRDefault="0000175A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5F48" w14:textId="38BB69BA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126 217 484,70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0F8A" w14:textId="42223E2A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290 150 266,67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1ECA" w14:textId="3CC48B6E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89 887 040,45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F64F" w14:textId="553F0FB2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30,98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271D" w14:textId="058DC92D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89 496 703,87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6B63" w14:textId="53335FE9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85 609 889,33</w:t>
            </w:r>
          </w:p>
        </w:tc>
      </w:tr>
      <w:tr w:rsidR="007608F7" w:rsidRPr="007608F7" w14:paraId="19A9150D" w14:textId="77777777" w:rsidTr="0000175A">
        <w:trPr>
          <w:trHeight w:val="8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6D68B" w14:textId="548327B0" w:rsidR="0000175A" w:rsidRPr="007608F7" w:rsidRDefault="0000175A" w:rsidP="00EB4484">
            <w:pPr>
              <w:keepNext/>
              <w:ind w:left="-108" w:right="-109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Безвозмездные поступления,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782C" w14:textId="3779CA25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2 866 097 892,59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1C7B" w14:textId="5B325F11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3 652 092 389,27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751F" w14:textId="67982C2C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3 187 532 600,00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0952" w14:textId="57B1010C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87,28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4735" w14:textId="636845B2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1 747 327 800,00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B3D7" w14:textId="5D8A4F5B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1 741 409 700,00</w:t>
            </w:r>
          </w:p>
        </w:tc>
      </w:tr>
      <w:tr w:rsidR="007608F7" w:rsidRPr="007608F7" w14:paraId="45B5D701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95451" w14:textId="15305C46" w:rsidR="0000175A" w:rsidRPr="007608F7" w:rsidRDefault="0000175A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4A91" w14:textId="62E787CB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287 238 900,00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7DC9" w14:textId="35A45B21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220 166 300,00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4B15" w14:textId="6FBD8026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408 185 300,00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2DE8" w14:textId="59F7CF32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185,40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0FD8" w14:textId="033DE4FD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109 507 700,00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C755" w14:textId="5B1CF917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92 233 700,00</w:t>
            </w:r>
          </w:p>
        </w:tc>
      </w:tr>
      <w:tr w:rsidR="007608F7" w:rsidRPr="007608F7" w14:paraId="71C121F0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61402" w14:textId="6490E728" w:rsidR="0000175A" w:rsidRPr="007608F7" w:rsidRDefault="0000175A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77FA" w14:textId="13ECFE06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1 011 861 675,97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975A" w14:textId="12FB867C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1 708 750 417,81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0FE4" w14:textId="2C5AA2A5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1 161 550 000,00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8083" w14:textId="22B4ADE1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67,98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DD88" w14:textId="174E8DCD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94 431 600,00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903C" w14:textId="68AA7AF1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96 087 100,00</w:t>
            </w:r>
          </w:p>
        </w:tc>
      </w:tr>
      <w:tr w:rsidR="007608F7" w:rsidRPr="007608F7" w14:paraId="3136819C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FF3B8" w14:textId="4015BC68" w:rsidR="0000175A" w:rsidRPr="007608F7" w:rsidRDefault="0000175A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9350" w14:textId="512AAB1C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1 505 306 872,90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4A1D" w14:textId="4A49C6CB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1 556 485 000,00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2383" w14:textId="6ACC57D1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1 617 797 300,00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1E6C" w14:textId="2D2E264E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103,94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FA2A" w14:textId="7D72E021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1 543 388 500,00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EA6E" w14:textId="05D83900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1 553 088 900,00</w:t>
            </w:r>
          </w:p>
        </w:tc>
      </w:tr>
      <w:tr w:rsidR="007608F7" w:rsidRPr="007608F7" w14:paraId="00BF5BD6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1D0F" w14:textId="12A802C9" w:rsidR="0000175A" w:rsidRPr="007608F7" w:rsidRDefault="0000175A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Иные МБТ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84B0" w14:textId="136F67BE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58 527 370,43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55A3" w14:textId="712B2F24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166 685 500,00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383D" w14:textId="795C541B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56D2" w14:textId="146C58BD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AE41" w14:textId="3E846F46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9FAB" w14:textId="16DFC570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</w:tr>
      <w:tr w:rsidR="007608F7" w:rsidRPr="007608F7" w14:paraId="02F52974" w14:textId="77777777" w:rsidTr="0000175A">
        <w:trPr>
          <w:trHeight w:val="9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2C5D5" w14:textId="3892C029" w:rsidR="0000175A" w:rsidRPr="007608F7" w:rsidRDefault="0000175A" w:rsidP="00EB4484">
            <w:pPr>
              <w:keepNext/>
              <w:ind w:left="-108" w:right="-109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Другие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52D9" w14:textId="7DB22F21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3 163 073,29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254D" w14:textId="67C04A53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5 171,46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C5FB" w14:textId="5869CEB6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DAD7" w14:textId="269EB427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4DD6" w14:textId="7EFCF0D4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DB85" w14:textId="2125B9AE" w:rsidR="0000175A" w:rsidRPr="007608F7" w:rsidRDefault="0000175A" w:rsidP="00EB448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</w:tr>
      <w:tr w:rsidR="007608F7" w:rsidRPr="007608F7" w14:paraId="360F002F" w14:textId="77777777" w:rsidTr="0000175A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3FA18" w14:textId="2138D1A9" w:rsidR="0000175A" w:rsidRPr="007608F7" w:rsidRDefault="0000175A" w:rsidP="00EB4484">
            <w:pPr>
              <w:keepNext/>
              <w:ind w:left="-108" w:right="-109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31FA" w14:textId="22A8EB88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3 531 373 845,66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2AB2" w14:textId="230AB717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4 548 015 665,19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D791" w14:textId="4EE6D0B1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3 957 736 710,18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948A" w14:textId="5C3E1D2E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87,02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5B2F" w14:textId="4AE93B4F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2 551 398 398,23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E6E0" w14:textId="22FC0D69" w:rsidR="0000175A" w:rsidRPr="007608F7" w:rsidRDefault="0000175A" w:rsidP="00EB448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2 577 998 747,09</w:t>
            </w:r>
          </w:p>
        </w:tc>
      </w:tr>
    </w:tbl>
    <w:p w14:paraId="7886D89F" w14:textId="77777777" w:rsidR="004651BC" w:rsidRPr="007608F7" w:rsidRDefault="004651BC" w:rsidP="00EB4484">
      <w:pPr>
        <w:pStyle w:val="ac"/>
        <w:widowControl w:val="0"/>
        <w:spacing w:line="228" w:lineRule="auto"/>
        <w:ind w:firstLine="709"/>
        <w:rPr>
          <w:b w:val="0"/>
          <w:sz w:val="16"/>
          <w:szCs w:val="16"/>
        </w:rPr>
      </w:pPr>
    </w:p>
    <w:p w14:paraId="4BBC5977" w14:textId="4DF9FF95" w:rsidR="00ED54AD" w:rsidRPr="007608F7" w:rsidRDefault="00C641D7" w:rsidP="00EB4484">
      <w:pPr>
        <w:pStyle w:val="ac"/>
        <w:widowControl w:val="0"/>
        <w:spacing w:line="228" w:lineRule="auto"/>
        <w:rPr>
          <w:b w:val="0"/>
          <w:szCs w:val="28"/>
          <w:highlight w:val="yellow"/>
        </w:rPr>
      </w:pPr>
      <w:r w:rsidRPr="007608F7">
        <w:rPr>
          <w:b w:val="0"/>
          <w:szCs w:val="28"/>
        </w:rPr>
        <w:t xml:space="preserve">Ожидаемое исполнение доходной части бюджета города на </w:t>
      </w:r>
      <w:r w:rsidR="0091784C" w:rsidRPr="007608F7">
        <w:rPr>
          <w:b w:val="0"/>
          <w:szCs w:val="28"/>
        </w:rPr>
        <w:t>202</w:t>
      </w:r>
      <w:r w:rsidR="00FA3BC8" w:rsidRPr="007608F7">
        <w:rPr>
          <w:b w:val="0"/>
          <w:szCs w:val="28"/>
        </w:rPr>
        <w:t>3</w:t>
      </w:r>
      <w:r w:rsidRPr="007608F7">
        <w:rPr>
          <w:b w:val="0"/>
          <w:szCs w:val="28"/>
        </w:rPr>
        <w:t xml:space="preserve"> год составляет </w:t>
      </w:r>
      <w:r w:rsidR="006544BC" w:rsidRPr="007608F7">
        <w:rPr>
          <w:b w:val="0"/>
          <w:szCs w:val="28"/>
        </w:rPr>
        <w:t>4 548 015 665,19</w:t>
      </w:r>
      <w:r w:rsidR="00816646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>, что на</w:t>
      </w:r>
      <w:r w:rsidR="003F13CD" w:rsidRPr="007608F7">
        <w:rPr>
          <w:b w:val="0"/>
          <w:szCs w:val="28"/>
        </w:rPr>
        <w:t xml:space="preserve"> </w:t>
      </w:r>
      <w:r w:rsidR="006544BC" w:rsidRPr="007608F7">
        <w:rPr>
          <w:b w:val="0"/>
          <w:szCs w:val="28"/>
        </w:rPr>
        <w:t>915 366 542,16</w:t>
      </w:r>
      <w:r w:rsidR="00816646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 или </w:t>
      </w:r>
      <w:r w:rsidR="006C2217" w:rsidRPr="007608F7">
        <w:rPr>
          <w:b w:val="0"/>
          <w:szCs w:val="28"/>
        </w:rPr>
        <w:t xml:space="preserve">на </w:t>
      </w:r>
      <w:r w:rsidR="006544BC" w:rsidRPr="007608F7">
        <w:rPr>
          <w:b w:val="0"/>
          <w:szCs w:val="28"/>
        </w:rPr>
        <w:t>25,2</w:t>
      </w:r>
      <w:r w:rsidR="007A0363" w:rsidRPr="007608F7">
        <w:rPr>
          <w:b w:val="0"/>
          <w:szCs w:val="28"/>
        </w:rPr>
        <w:t xml:space="preserve">% </w:t>
      </w:r>
      <w:r w:rsidR="001F13E3" w:rsidRPr="007608F7">
        <w:rPr>
          <w:b w:val="0"/>
          <w:szCs w:val="28"/>
        </w:rPr>
        <w:t>выше</w:t>
      </w:r>
      <w:r w:rsidRPr="007608F7">
        <w:rPr>
          <w:b w:val="0"/>
          <w:szCs w:val="28"/>
        </w:rPr>
        <w:t xml:space="preserve"> объема поступлений 20</w:t>
      </w:r>
      <w:r w:rsidR="006C2217" w:rsidRPr="007608F7">
        <w:rPr>
          <w:b w:val="0"/>
          <w:szCs w:val="28"/>
        </w:rPr>
        <w:t>2</w:t>
      </w:r>
      <w:r w:rsidR="00FA3BC8" w:rsidRPr="007608F7">
        <w:rPr>
          <w:b w:val="0"/>
          <w:szCs w:val="28"/>
        </w:rPr>
        <w:t>2</w:t>
      </w:r>
      <w:r w:rsidRPr="007608F7">
        <w:rPr>
          <w:b w:val="0"/>
          <w:szCs w:val="28"/>
        </w:rPr>
        <w:t xml:space="preserve"> года, налоговые и неналоговые доходы составят </w:t>
      </w:r>
      <w:r w:rsidR="006544BC" w:rsidRPr="007608F7">
        <w:rPr>
          <w:b w:val="0"/>
          <w:szCs w:val="28"/>
        </w:rPr>
        <w:t>895 923 275,92 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>,</w:t>
      </w:r>
      <w:r w:rsidR="00E13F06" w:rsidRPr="007608F7">
        <w:rPr>
          <w:b w:val="0"/>
          <w:szCs w:val="28"/>
        </w:rPr>
        <w:t xml:space="preserve"> безвозмездные поступления составят </w:t>
      </w:r>
      <w:r w:rsidR="006544BC" w:rsidRPr="007608F7">
        <w:rPr>
          <w:b w:val="0"/>
          <w:szCs w:val="28"/>
        </w:rPr>
        <w:t>3 652</w:t>
      </w:r>
      <w:r w:rsidR="00440ED7" w:rsidRPr="007608F7">
        <w:rPr>
          <w:b w:val="0"/>
          <w:szCs w:val="28"/>
        </w:rPr>
        <w:t> </w:t>
      </w:r>
      <w:r w:rsidR="006544BC" w:rsidRPr="007608F7">
        <w:rPr>
          <w:b w:val="0"/>
          <w:szCs w:val="28"/>
        </w:rPr>
        <w:t>092</w:t>
      </w:r>
      <w:r w:rsidR="00440ED7" w:rsidRPr="007608F7">
        <w:rPr>
          <w:b w:val="0"/>
          <w:szCs w:val="28"/>
        </w:rPr>
        <w:t> 389,27</w:t>
      </w:r>
      <w:r w:rsidR="00E13F06" w:rsidRPr="007608F7">
        <w:rPr>
          <w:b w:val="0"/>
          <w:szCs w:val="28"/>
        </w:rPr>
        <w:t xml:space="preserve"> рубля, что на </w:t>
      </w:r>
      <w:r w:rsidR="00440ED7" w:rsidRPr="007608F7">
        <w:rPr>
          <w:b w:val="0"/>
          <w:szCs w:val="28"/>
        </w:rPr>
        <w:t>684 719 219,31</w:t>
      </w:r>
      <w:r w:rsidR="00E13F06" w:rsidRPr="007608F7">
        <w:rPr>
          <w:b w:val="0"/>
          <w:szCs w:val="28"/>
        </w:rPr>
        <w:t xml:space="preserve"> рубля или на </w:t>
      </w:r>
      <w:r w:rsidR="00440ED7" w:rsidRPr="007608F7">
        <w:rPr>
          <w:b w:val="0"/>
          <w:szCs w:val="28"/>
        </w:rPr>
        <w:t>23,07</w:t>
      </w:r>
      <w:r w:rsidR="00E13F06" w:rsidRPr="007608F7">
        <w:rPr>
          <w:b w:val="0"/>
          <w:szCs w:val="28"/>
        </w:rPr>
        <w:t>% выше объема поступлений 202</w:t>
      </w:r>
      <w:r w:rsidR="00471D9B" w:rsidRPr="007608F7">
        <w:rPr>
          <w:b w:val="0"/>
          <w:szCs w:val="28"/>
        </w:rPr>
        <w:t>2</w:t>
      </w:r>
      <w:r w:rsidR="00E13F06" w:rsidRPr="007608F7">
        <w:rPr>
          <w:b w:val="0"/>
          <w:szCs w:val="28"/>
        </w:rPr>
        <w:t xml:space="preserve"> года</w:t>
      </w:r>
      <w:r w:rsidR="00441B3A" w:rsidRPr="007608F7">
        <w:rPr>
          <w:b w:val="0"/>
          <w:szCs w:val="28"/>
        </w:rPr>
        <w:t>, что в основном обусловлено ростом</w:t>
      </w:r>
      <w:r w:rsidR="007E644A" w:rsidRPr="007608F7">
        <w:rPr>
          <w:b w:val="0"/>
          <w:szCs w:val="28"/>
        </w:rPr>
        <w:t xml:space="preserve"> </w:t>
      </w:r>
      <w:r w:rsidR="00440ED7" w:rsidRPr="007608F7">
        <w:rPr>
          <w:b w:val="0"/>
          <w:szCs w:val="28"/>
        </w:rPr>
        <w:t xml:space="preserve">поступлений от продажи муниципального имущества в части реализации металлолома, а также </w:t>
      </w:r>
      <w:r w:rsidR="007E644A" w:rsidRPr="007608F7">
        <w:rPr>
          <w:b w:val="0"/>
          <w:szCs w:val="28"/>
        </w:rPr>
        <w:t>межбюджетных субсидий, по большей части, в связи с</w:t>
      </w:r>
      <w:r w:rsidR="00ED54AD" w:rsidRPr="007608F7">
        <w:rPr>
          <w:b w:val="0"/>
          <w:szCs w:val="28"/>
        </w:rPr>
        <w:t xml:space="preserve"> финансированием субсидий на переселение граждан из аварийного жилищного фонда Иркутской области, субсидий на финансовое обеспечение дорожной деятельности в рамках реализации национального проекта «Безопасные качественные дороги», по субсидии на строительство, реконструкцию и модернизацию объектов водоснабжения, водоотведения и очистки сточных вод, в том числе разработку проектной документации, по субсидии на реализацию программ формирования современной городской среды.</w:t>
      </w:r>
    </w:p>
    <w:p w14:paraId="77D4FF6B" w14:textId="6D5E1F1F" w:rsidR="00F649CB" w:rsidRPr="007608F7" w:rsidRDefault="00C641D7" w:rsidP="00EB4484">
      <w:pPr>
        <w:pStyle w:val="ac"/>
        <w:widowControl w:val="0"/>
        <w:spacing w:line="228" w:lineRule="auto"/>
        <w:ind w:firstLine="709"/>
        <w:rPr>
          <w:b w:val="0"/>
          <w:szCs w:val="28"/>
        </w:rPr>
      </w:pPr>
      <w:r w:rsidRPr="007608F7">
        <w:rPr>
          <w:b w:val="0"/>
          <w:szCs w:val="28"/>
        </w:rPr>
        <w:t xml:space="preserve">Доходы бюджета города на </w:t>
      </w:r>
      <w:r w:rsidR="00DE0A2B" w:rsidRPr="007608F7">
        <w:rPr>
          <w:b w:val="0"/>
          <w:szCs w:val="28"/>
        </w:rPr>
        <w:t>2024</w:t>
      </w:r>
      <w:r w:rsidRPr="007608F7">
        <w:rPr>
          <w:b w:val="0"/>
          <w:szCs w:val="28"/>
        </w:rPr>
        <w:t xml:space="preserve"> год запланированы в сумме </w:t>
      </w:r>
      <w:r w:rsidR="00ED54AD" w:rsidRPr="007608F7">
        <w:rPr>
          <w:b w:val="0"/>
          <w:szCs w:val="28"/>
        </w:rPr>
        <w:t>3 957 736</w:t>
      </w:r>
      <w:r w:rsidR="003A59E3" w:rsidRPr="007608F7">
        <w:rPr>
          <w:b w:val="0"/>
          <w:szCs w:val="28"/>
        </w:rPr>
        <w:t> </w:t>
      </w:r>
      <w:r w:rsidR="00ED54AD" w:rsidRPr="007608F7">
        <w:rPr>
          <w:b w:val="0"/>
          <w:szCs w:val="28"/>
        </w:rPr>
        <w:t>7</w:t>
      </w:r>
      <w:r w:rsidR="003A59E3" w:rsidRPr="007608F7">
        <w:rPr>
          <w:b w:val="0"/>
          <w:szCs w:val="28"/>
        </w:rPr>
        <w:t>10,18</w:t>
      </w:r>
      <w:r w:rsidR="00E653BE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, что на </w:t>
      </w:r>
      <w:r w:rsidR="00ED54AD" w:rsidRPr="007608F7">
        <w:rPr>
          <w:b w:val="0"/>
          <w:szCs w:val="28"/>
        </w:rPr>
        <w:t>590 278</w:t>
      </w:r>
      <w:r w:rsidR="003A59E3" w:rsidRPr="007608F7">
        <w:rPr>
          <w:b w:val="0"/>
          <w:szCs w:val="28"/>
        </w:rPr>
        <w:t> 955,01</w:t>
      </w:r>
      <w:r w:rsidR="00FE31DC" w:rsidRPr="007608F7">
        <w:rPr>
          <w:b w:val="0"/>
          <w:szCs w:val="28"/>
        </w:rPr>
        <w:t xml:space="preserve"> 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 или </w:t>
      </w:r>
      <w:r w:rsidR="00441B3A" w:rsidRPr="007608F7">
        <w:rPr>
          <w:b w:val="0"/>
          <w:szCs w:val="28"/>
        </w:rPr>
        <w:t xml:space="preserve">на </w:t>
      </w:r>
      <w:r w:rsidR="00ED54AD" w:rsidRPr="007608F7">
        <w:rPr>
          <w:b w:val="0"/>
          <w:szCs w:val="28"/>
        </w:rPr>
        <w:t>12,98</w:t>
      </w:r>
      <w:r w:rsidRPr="007608F7">
        <w:rPr>
          <w:b w:val="0"/>
          <w:szCs w:val="28"/>
        </w:rPr>
        <w:t xml:space="preserve">% </w:t>
      </w:r>
      <w:r w:rsidR="00ED54AD" w:rsidRPr="007608F7">
        <w:rPr>
          <w:b w:val="0"/>
          <w:szCs w:val="28"/>
        </w:rPr>
        <w:t>ниже</w:t>
      </w:r>
      <w:r w:rsidRPr="007608F7">
        <w:rPr>
          <w:b w:val="0"/>
          <w:szCs w:val="28"/>
        </w:rPr>
        <w:t xml:space="preserve"> ожидаемых поступлений </w:t>
      </w:r>
      <w:r w:rsidR="0091784C" w:rsidRPr="007608F7">
        <w:rPr>
          <w:b w:val="0"/>
          <w:szCs w:val="28"/>
        </w:rPr>
        <w:t>202</w:t>
      </w:r>
      <w:r w:rsidR="00471D9B" w:rsidRPr="007608F7">
        <w:rPr>
          <w:b w:val="0"/>
          <w:szCs w:val="28"/>
        </w:rPr>
        <w:t>3</w:t>
      </w:r>
      <w:r w:rsidR="006B713D" w:rsidRPr="007608F7">
        <w:rPr>
          <w:b w:val="0"/>
          <w:szCs w:val="28"/>
        </w:rPr>
        <w:t> </w:t>
      </w:r>
      <w:r w:rsidRPr="007608F7">
        <w:rPr>
          <w:b w:val="0"/>
          <w:szCs w:val="28"/>
        </w:rPr>
        <w:t xml:space="preserve">года, налоговые и неналоговые доходы составят </w:t>
      </w:r>
      <w:r w:rsidR="00ED54AD" w:rsidRPr="007608F7">
        <w:rPr>
          <w:b w:val="0"/>
          <w:szCs w:val="28"/>
        </w:rPr>
        <w:t>770 204</w:t>
      </w:r>
      <w:r w:rsidR="003A59E3" w:rsidRPr="007608F7">
        <w:rPr>
          <w:b w:val="0"/>
          <w:szCs w:val="28"/>
        </w:rPr>
        <w:t> 110,18</w:t>
      </w:r>
      <w:r w:rsidR="009C0FA6" w:rsidRPr="007608F7">
        <w:rPr>
          <w:b w:val="0"/>
          <w:szCs w:val="28"/>
        </w:rPr>
        <w:t> ру</w:t>
      </w:r>
      <w:r w:rsidR="00FF6E69" w:rsidRPr="007608F7">
        <w:rPr>
          <w:b w:val="0"/>
          <w:szCs w:val="28"/>
        </w:rPr>
        <w:t>бля</w:t>
      </w:r>
      <w:r w:rsidRPr="007608F7">
        <w:rPr>
          <w:b w:val="0"/>
          <w:szCs w:val="28"/>
        </w:rPr>
        <w:t xml:space="preserve">, что на </w:t>
      </w:r>
      <w:r w:rsidR="00ED54AD" w:rsidRPr="007608F7">
        <w:rPr>
          <w:b w:val="0"/>
          <w:szCs w:val="28"/>
        </w:rPr>
        <w:t>125 719</w:t>
      </w:r>
      <w:r w:rsidR="003A59E3" w:rsidRPr="007608F7">
        <w:rPr>
          <w:b w:val="0"/>
          <w:szCs w:val="28"/>
        </w:rPr>
        <w:t> 165,74</w:t>
      </w:r>
      <w:r w:rsidR="00816646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 или </w:t>
      </w:r>
      <w:r w:rsidR="00ED54AD" w:rsidRPr="007608F7">
        <w:rPr>
          <w:b w:val="0"/>
          <w:szCs w:val="28"/>
        </w:rPr>
        <w:t>14,03</w:t>
      </w:r>
      <w:r w:rsidRPr="007608F7">
        <w:rPr>
          <w:b w:val="0"/>
          <w:szCs w:val="28"/>
        </w:rPr>
        <w:t xml:space="preserve">% </w:t>
      </w:r>
      <w:r w:rsidR="00ED54AD" w:rsidRPr="007608F7">
        <w:rPr>
          <w:b w:val="0"/>
          <w:szCs w:val="28"/>
        </w:rPr>
        <w:t>ниже</w:t>
      </w:r>
      <w:r w:rsidRPr="007608F7">
        <w:rPr>
          <w:b w:val="0"/>
          <w:szCs w:val="28"/>
        </w:rPr>
        <w:t xml:space="preserve"> ожидаемого поступления в </w:t>
      </w:r>
      <w:r w:rsidR="0091784C" w:rsidRPr="007608F7">
        <w:rPr>
          <w:b w:val="0"/>
          <w:szCs w:val="28"/>
        </w:rPr>
        <w:t>202</w:t>
      </w:r>
      <w:r w:rsidR="00471D9B" w:rsidRPr="007608F7">
        <w:rPr>
          <w:b w:val="0"/>
          <w:szCs w:val="28"/>
        </w:rPr>
        <w:t>3</w:t>
      </w:r>
      <w:r w:rsidRPr="007608F7">
        <w:rPr>
          <w:b w:val="0"/>
          <w:szCs w:val="28"/>
        </w:rPr>
        <w:t xml:space="preserve"> году.</w:t>
      </w:r>
      <w:r w:rsidR="00441B3A" w:rsidRPr="007608F7">
        <w:rPr>
          <w:b w:val="0"/>
          <w:szCs w:val="28"/>
        </w:rPr>
        <w:t xml:space="preserve"> </w:t>
      </w:r>
      <w:r w:rsidR="001F13E3" w:rsidRPr="007608F7">
        <w:rPr>
          <w:b w:val="0"/>
          <w:szCs w:val="28"/>
        </w:rPr>
        <w:t>Прогнозируем</w:t>
      </w:r>
      <w:r w:rsidR="00ED54AD" w:rsidRPr="007608F7">
        <w:rPr>
          <w:b w:val="0"/>
          <w:szCs w:val="28"/>
        </w:rPr>
        <w:t>ое снижение</w:t>
      </w:r>
      <w:r w:rsidR="001F13E3" w:rsidRPr="007608F7">
        <w:rPr>
          <w:b w:val="0"/>
          <w:szCs w:val="28"/>
        </w:rPr>
        <w:t xml:space="preserve"> доходов бюджета города на </w:t>
      </w:r>
      <w:r w:rsidR="00DE0A2B" w:rsidRPr="007608F7">
        <w:rPr>
          <w:b w:val="0"/>
          <w:szCs w:val="28"/>
        </w:rPr>
        <w:t>2024</w:t>
      </w:r>
      <w:r w:rsidR="00595447" w:rsidRPr="007608F7">
        <w:rPr>
          <w:b w:val="0"/>
          <w:szCs w:val="28"/>
        </w:rPr>
        <w:t> </w:t>
      </w:r>
      <w:r w:rsidR="001F13E3" w:rsidRPr="007608F7">
        <w:rPr>
          <w:b w:val="0"/>
          <w:szCs w:val="28"/>
        </w:rPr>
        <w:t>год и планов</w:t>
      </w:r>
      <w:r w:rsidR="00FE31DC" w:rsidRPr="007608F7">
        <w:rPr>
          <w:b w:val="0"/>
          <w:szCs w:val="28"/>
        </w:rPr>
        <w:t>ый</w:t>
      </w:r>
      <w:r w:rsidR="001F13E3" w:rsidRPr="007608F7">
        <w:rPr>
          <w:b w:val="0"/>
          <w:szCs w:val="28"/>
        </w:rPr>
        <w:t xml:space="preserve"> период </w:t>
      </w:r>
      <w:r w:rsidR="00DE0A2B" w:rsidRPr="007608F7">
        <w:rPr>
          <w:b w:val="0"/>
          <w:szCs w:val="28"/>
        </w:rPr>
        <w:t>2025</w:t>
      </w:r>
      <w:r w:rsidR="001F13E3" w:rsidRPr="007608F7">
        <w:rPr>
          <w:b w:val="0"/>
          <w:szCs w:val="28"/>
        </w:rPr>
        <w:t xml:space="preserve"> - </w:t>
      </w:r>
      <w:r w:rsidR="00DE0A2B" w:rsidRPr="007608F7">
        <w:rPr>
          <w:b w:val="0"/>
          <w:szCs w:val="28"/>
        </w:rPr>
        <w:t>2026</w:t>
      </w:r>
      <w:r w:rsidR="001F13E3" w:rsidRPr="007608F7">
        <w:rPr>
          <w:b w:val="0"/>
          <w:szCs w:val="28"/>
        </w:rPr>
        <w:t xml:space="preserve"> годов обусловлен</w:t>
      </w:r>
      <w:r w:rsidR="00ED54AD" w:rsidRPr="007608F7">
        <w:rPr>
          <w:b w:val="0"/>
          <w:szCs w:val="28"/>
        </w:rPr>
        <w:t>о</w:t>
      </w:r>
      <w:r w:rsidR="001F13E3" w:rsidRPr="007608F7">
        <w:rPr>
          <w:b w:val="0"/>
          <w:szCs w:val="28"/>
        </w:rPr>
        <w:t xml:space="preserve"> </w:t>
      </w:r>
      <w:r w:rsidR="00ED54AD" w:rsidRPr="007608F7">
        <w:rPr>
          <w:b w:val="0"/>
          <w:szCs w:val="28"/>
        </w:rPr>
        <w:t xml:space="preserve">снижением </w:t>
      </w:r>
      <w:r w:rsidR="00E653BE" w:rsidRPr="007608F7">
        <w:rPr>
          <w:b w:val="0"/>
          <w:szCs w:val="28"/>
        </w:rPr>
        <w:t xml:space="preserve">безвозмездных поступлений в части </w:t>
      </w:r>
      <w:r w:rsidR="00890816" w:rsidRPr="007608F7">
        <w:rPr>
          <w:b w:val="0"/>
          <w:szCs w:val="28"/>
        </w:rPr>
        <w:t>субсидий на обеспечение мероприятий по строительству, реконструкции объектов в сфере физической культуры и спорта, субсиди</w:t>
      </w:r>
      <w:r w:rsidR="003B11A8" w:rsidRPr="007608F7">
        <w:rPr>
          <w:b w:val="0"/>
          <w:szCs w:val="28"/>
        </w:rPr>
        <w:t>й</w:t>
      </w:r>
      <w:r w:rsidR="00890816" w:rsidRPr="007608F7">
        <w:rPr>
          <w:b w:val="0"/>
          <w:szCs w:val="28"/>
        </w:rPr>
        <w:t xml:space="preserve"> по модернизации школьных систем образования</w:t>
      </w:r>
      <w:r w:rsidR="003B11A8" w:rsidRPr="007608F7">
        <w:rPr>
          <w:b w:val="0"/>
          <w:szCs w:val="28"/>
        </w:rPr>
        <w:t xml:space="preserve"> и </w:t>
      </w:r>
      <w:r w:rsidR="00890816" w:rsidRPr="007608F7">
        <w:rPr>
          <w:b w:val="0"/>
          <w:szCs w:val="28"/>
        </w:rPr>
        <w:t>субсиди</w:t>
      </w:r>
      <w:r w:rsidR="003B11A8" w:rsidRPr="007608F7">
        <w:rPr>
          <w:b w:val="0"/>
          <w:szCs w:val="28"/>
        </w:rPr>
        <w:t>й</w:t>
      </w:r>
      <w:r w:rsidR="00890816" w:rsidRPr="007608F7">
        <w:rPr>
          <w:b w:val="0"/>
          <w:szCs w:val="28"/>
        </w:rPr>
        <w:t xml:space="preserve"> по переселению граждан из аварийного жилищного фонда,</w:t>
      </w:r>
      <w:r w:rsidR="00E653BE" w:rsidRPr="007608F7">
        <w:rPr>
          <w:b w:val="0"/>
          <w:szCs w:val="28"/>
        </w:rPr>
        <w:t xml:space="preserve"> а также </w:t>
      </w:r>
      <w:r w:rsidR="00553819" w:rsidRPr="007608F7">
        <w:rPr>
          <w:b w:val="0"/>
          <w:szCs w:val="28"/>
        </w:rPr>
        <w:t xml:space="preserve">собственных доходов </w:t>
      </w:r>
      <w:r w:rsidR="009C0FA6" w:rsidRPr="007608F7">
        <w:rPr>
          <w:b w:val="0"/>
          <w:szCs w:val="28"/>
        </w:rPr>
        <w:lastRenderedPageBreak/>
        <w:t xml:space="preserve">по причине </w:t>
      </w:r>
      <w:r w:rsidR="00F649CB" w:rsidRPr="007608F7">
        <w:rPr>
          <w:b w:val="0"/>
          <w:szCs w:val="28"/>
        </w:rPr>
        <w:t>снижения доходов от реализации муниципального имущества.</w:t>
      </w:r>
    </w:p>
    <w:p w14:paraId="6C523300" w14:textId="5FA3642D" w:rsidR="00377E24" w:rsidRPr="007608F7" w:rsidRDefault="00110C20" w:rsidP="00EB4484">
      <w:pPr>
        <w:pStyle w:val="ac"/>
        <w:widowControl w:val="0"/>
        <w:spacing w:line="228" w:lineRule="auto"/>
        <w:ind w:firstLine="709"/>
        <w:rPr>
          <w:b w:val="0"/>
          <w:szCs w:val="28"/>
        </w:rPr>
      </w:pPr>
      <w:r w:rsidRPr="007608F7">
        <w:rPr>
          <w:b w:val="0"/>
          <w:szCs w:val="28"/>
        </w:rPr>
        <w:t xml:space="preserve">На </w:t>
      </w:r>
      <w:r w:rsidR="00DE0A2B" w:rsidRPr="007608F7">
        <w:rPr>
          <w:b w:val="0"/>
          <w:szCs w:val="28"/>
        </w:rPr>
        <w:t>2025</w:t>
      </w:r>
      <w:r w:rsidRPr="007608F7">
        <w:rPr>
          <w:b w:val="0"/>
          <w:szCs w:val="28"/>
        </w:rPr>
        <w:t xml:space="preserve"> год доходы бюджета </w:t>
      </w:r>
      <w:r w:rsidR="000A7C09" w:rsidRPr="007608F7">
        <w:rPr>
          <w:b w:val="0"/>
          <w:szCs w:val="28"/>
        </w:rPr>
        <w:t xml:space="preserve">города </w:t>
      </w:r>
      <w:r w:rsidRPr="007608F7">
        <w:rPr>
          <w:b w:val="0"/>
          <w:szCs w:val="28"/>
        </w:rPr>
        <w:t xml:space="preserve">прогнозируются в объеме </w:t>
      </w:r>
      <w:r w:rsidR="00EC57ED" w:rsidRPr="007608F7">
        <w:rPr>
          <w:b w:val="0"/>
          <w:szCs w:val="28"/>
        </w:rPr>
        <w:t>2 551 398</w:t>
      </w:r>
      <w:r w:rsidR="003A59E3" w:rsidRPr="007608F7">
        <w:rPr>
          <w:b w:val="0"/>
          <w:szCs w:val="28"/>
        </w:rPr>
        <w:t> 398,23</w:t>
      </w:r>
      <w:r w:rsidR="00816646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, что на </w:t>
      </w:r>
      <w:r w:rsidR="00EC57ED" w:rsidRPr="007608F7">
        <w:rPr>
          <w:b w:val="0"/>
          <w:szCs w:val="28"/>
        </w:rPr>
        <w:t>1 406 338</w:t>
      </w:r>
      <w:r w:rsidR="003A59E3" w:rsidRPr="007608F7">
        <w:rPr>
          <w:b w:val="0"/>
          <w:szCs w:val="28"/>
        </w:rPr>
        <w:t> 311,96</w:t>
      </w:r>
      <w:r w:rsidR="00E653BE" w:rsidRPr="007608F7">
        <w:rPr>
          <w:b w:val="0"/>
          <w:szCs w:val="28"/>
        </w:rPr>
        <w:t xml:space="preserve"> </w:t>
      </w:r>
      <w:r w:rsidR="00FE31DC" w:rsidRPr="007608F7">
        <w:rPr>
          <w:b w:val="0"/>
          <w:szCs w:val="28"/>
        </w:rPr>
        <w:t>руб</w:t>
      </w:r>
      <w:r w:rsidR="00FF6E69" w:rsidRPr="007608F7">
        <w:rPr>
          <w:b w:val="0"/>
          <w:szCs w:val="28"/>
        </w:rPr>
        <w:t>ля</w:t>
      </w:r>
      <w:r w:rsidR="000A7C09" w:rsidRPr="007608F7">
        <w:rPr>
          <w:b w:val="0"/>
          <w:szCs w:val="28"/>
        </w:rPr>
        <w:t xml:space="preserve"> </w:t>
      </w:r>
      <w:r w:rsidR="008868A8" w:rsidRPr="007608F7">
        <w:rPr>
          <w:b w:val="0"/>
          <w:szCs w:val="28"/>
        </w:rPr>
        <w:t xml:space="preserve">или </w:t>
      </w:r>
      <w:r w:rsidR="00377E24" w:rsidRPr="007608F7">
        <w:rPr>
          <w:b w:val="0"/>
          <w:szCs w:val="28"/>
        </w:rPr>
        <w:t xml:space="preserve">на </w:t>
      </w:r>
      <w:r w:rsidR="00EC57ED" w:rsidRPr="007608F7">
        <w:rPr>
          <w:b w:val="0"/>
          <w:szCs w:val="28"/>
        </w:rPr>
        <w:t>35,53</w:t>
      </w:r>
      <w:r w:rsidR="00C96882" w:rsidRPr="007608F7">
        <w:rPr>
          <w:b w:val="0"/>
          <w:szCs w:val="28"/>
        </w:rPr>
        <w:t>%</w:t>
      </w:r>
      <w:r w:rsidRPr="007608F7">
        <w:rPr>
          <w:b w:val="0"/>
          <w:szCs w:val="28"/>
        </w:rPr>
        <w:t xml:space="preserve"> </w:t>
      </w:r>
      <w:r w:rsidR="00412B35" w:rsidRPr="007608F7">
        <w:rPr>
          <w:b w:val="0"/>
          <w:szCs w:val="28"/>
        </w:rPr>
        <w:t>ниже</w:t>
      </w:r>
      <w:r w:rsidRPr="007608F7">
        <w:rPr>
          <w:b w:val="0"/>
          <w:szCs w:val="28"/>
        </w:rPr>
        <w:t xml:space="preserve"> прогнозируемого поступления на </w:t>
      </w:r>
      <w:r w:rsidR="00DE0A2B" w:rsidRPr="007608F7">
        <w:rPr>
          <w:b w:val="0"/>
          <w:szCs w:val="28"/>
        </w:rPr>
        <w:t>2024</w:t>
      </w:r>
      <w:r w:rsidR="00816646" w:rsidRPr="007608F7">
        <w:rPr>
          <w:b w:val="0"/>
          <w:szCs w:val="28"/>
        </w:rPr>
        <w:t> </w:t>
      </w:r>
      <w:r w:rsidRPr="007608F7">
        <w:rPr>
          <w:b w:val="0"/>
          <w:szCs w:val="28"/>
        </w:rPr>
        <w:t xml:space="preserve">год, налоговые и неналоговые доходы составят </w:t>
      </w:r>
      <w:r w:rsidR="00EC57ED" w:rsidRPr="007608F7">
        <w:rPr>
          <w:b w:val="0"/>
          <w:szCs w:val="28"/>
        </w:rPr>
        <w:t>804 070</w:t>
      </w:r>
      <w:r w:rsidR="003A59E3" w:rsidRPr="007608F7">
        <w:rPr>
          <w:b w:val="0"/>
          <w:szCs w:val="28"/>
        </w:rPr>
        <w:t> 598,23</w:t>
      </w:r>
      <w:r w:rsidR="00A43153" w:rsidRPr="007608F7">
        <w:rPr>
          <w:b w:val="0"/>
          <w:szCs w:val="28"/>
        </w:rPr>
        <w:t xml:space="preserve"> </w:t>
      </w:r>
      <w:r w:rsidR="00FF6E69" w:rsidRPr="007608F7">
        <w:rPr>
          <w:b w:val="0"/>
          <w:szCs w:val="28"/>
        </w:rPr>
        <w:t>рубля</w:t>
      </w:r>
      <w:r w:rsidR="0031105B" w:rsidRPr="007608F7">
        <w:rPr>
          <w:b w:val="0"/>
          <w:szCs w:val="28"/>
        </w:rPr>
        <w:t xml:space="preserve">, </w:t>
      </w:r>
      <w:r w:rsidRPr="007608F7">
        <w:rPr>
          <w:b w:val="0"/>
          <w:szCs w:val="28"/>
        </w:rPr>
        <w:t xml:space="preserve">что на </w:t>
      </w:r>
      <w:r w:rsidR="00EC57ED" w:rsidRPr="007608F7">
        <w:rPr>
          <w:b w:val="0"/>
          <w:szCs w:val="28"/>
        </w:rPr>
        <w:t>33 866</w:t>
      </w:r>
      <w:r w:rsidR="003A59E3" w:rsidRPr="007608F7">
        <w:rPr>
          <w:b w:val="0"/>
          <w:szCs w:val="28"/>
        </w:rPr>
        <w:t> </w:t>
      </w:r>
      <w:r w:rsidR="00EC57ED" w:rsidRPr="007608F7">
        <w:rPr>
          <w:b w:val="0"/>
          <w:szCs w:val="28"/>
        </w:rPr>
        <w:t>4</w:t>
      </w:r>
      <w:r w:rsidR="003A59E3" w:rsidRPr="007608F7">
        <w:rPr>
          <w:b w:val="0"/>
          <w:szCs w:val="28"/>
        </w:rPr>
        <w:t>88,04</w:t>
      </w:r>
      <w:r w:rsidR="00816646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 </w:t>
      </w:r>
      <w:r w:rsidR="00C96882" w:rsidRPr="007608F7">
        <w:rPr>
          <w:b w:val="0"/>
          <w:szCs w:val="28"/>
        </w:rPr>
        <w:t xml:space="preserve">или </w:t>
      </w:r>
      <w:r w:rsidR="00377E24" w:rsidRPr="007608F7">
        <w:rPr>
          <w:b w:val="0"/>
          <w:szCs w:val="28"/>
        </w:rPr>
        <w:t xml:space="preserve">на </w:t>
      </w:r>
      <w:r w:rsidR="00EC57ED" w:rsidRPr="007608F7">
        <w:rPr>
          <w:b w:val="0"/>
          <w:szCs w:val="28"/>
        </w:rPr>
        <w:t>4,40</w:t>
      </w:r>
      <w:r w:rsidR="00C96882" w:rsidRPr="007608F7">
        <w:rPr>
          <w:b w:val="0"/>
          <w:szCs w:val="28"/>
        </w:rPr>
        <w:t xml:space="preserve">% </w:t>
      </w:r>
      <w:r w:rsidR="00441B3A" w:rsidRPr="007608F7">
        <w:rPr>
          <w:b w:val="0"/>
          <w:szCs w:val="28"/>
        </w:rPr>
        <w:t>выше</w:t>
      </w:r>
      <w:r w:rsidRPr="007608F7">
        <w:rPr>
          <w:b w:val="0"/>
          <w:szCs w:val="28"/>
        </w:rPr>
        <w:t xml:space="preserve"> прогнозируемых поступлений </w:t>
      </w:r>
      <w:r w:rsidR="00DE0A2B" w:rsidRPr="007608F7">
        <w:rPr>
          <w:b w:val="0"/>
          <w:szCs w:val="28"/>
        </w:rPr>
        <w:t>2024</w:t>
      </w:r>
      <w:r w:rsidR="00816646" w:rsidRPr="007608F7">
        <w:rPr>
          <w:b w:val="0"/>
          <w:szCs w:val="28"/>
        </w:rPr>
        <w:t> </w:t>
      </w:r>
      <w:r w:rsidRPr="007608F7">
        <w:rPr>
          <w:b w:val="0"/>
          <w:szCs w:val="28"/>
        </w:rPr>
        <w:t>год</w:t>
      </w:r>
      <w:r w:rsidR="00441B3A" w:rsidRPr="007608F7">
        <w:rPr>
          <w:b w:val="0"/>
          <w:szCs w:val="28"/>
        </w:rPr>
        <w:t xml:space="preserve">. </w:t>
      </w:r>
      <w:r w:rsidR="00377E24" w:rsidRPr="007608F7">
        <w:rPr>
          <w:b w:val="0"/>
          <w:szCs w:val="28"/>
        </w:rPr>
        <w:t xml:space="preserve">Основной объем снижения составляют субсидии из областного бюджета, в том числе субсидии </w:t>
      </w:r>
      <w:r w:rsidR="00441B3A" w:rsidRPr="007608F7">
        <w:rPr>
          <w:b w:val="0"/>
          <w:szCs w:val="28"/>
        </w:rPr>
        <w:t>на переселение граждан из аварийного жилищного фонда, а также субсидии на финансовое обеспечение дорожной деятельности в рамках реализации национального проекта «Безопасные качественные автомобильные дороги».</w:t>
      </w:r>
    </w:p>
    <w:p w14:paraId="287B7D63" w14:textId="4D0A8516" w:rsidR="00110C20" w:rsidRPr="007608F7" w:rsidRDefault="00C96882" w:rsidP="00EB4484">
      <w:pPr>
        <w:pStyle w:val="ac"/>
        <w:widowControl w:val="0"/>
        <w:spacing w:line="228" w:lineRule="auto"/>
        <w:ind w:firstLine="709"/>
        <w:rPr>
          <w:b w:val="0"/>
          <w:szCs w:val="28"/>
        </w:rPr>
      </w:pPr>
      <w:r w:rsidRPr="007608F7">
        <w:rPr>
          <w:b w:val="0"/>
          <w:szCs w:val="28"/>
        </w:rPr>
        <w:t xml:space="preserve">На </w:t>
      </w:r>
      <w:r w:rsidR="00DE0A2B" w:rsidRPr="007608F7">
        <w:rPr>
          <w:b w:val="0"/>
          <w:szCs w:val="28"/>
        </w:rPr>
        <w:t>2026</w:t>
      </w:r>
      <w:r w:rsidRPr="007608F7">
        <w:rPr>
          <w:b w:val="0"/>
          <w:szCs w:val="28"/>
        </w:rPr>
        <w:t xml:space="preserve"> год доходы </w:t>
      </w:r>
      <w:r w:rsidR="00110C20" w:rsidRPr="007608F7">
        <w:rPr>
          <w:b w:val="0"/>
          <w:szCs w:val="28"/>
        </w:rPr>
        <w:t xml:space="preserve">бюджета </w:t>
      </w:r>
      <w:r w:rsidRPr="007608F7">
        <w:rPr>
          <w:b w:val="0"/>
          <w:szCs w:val="28"/>
        </w:rPr>
        <w:t xml:space="preserve">города </w:t>
      </w:r>
      <w:r w:rsidR="00110C20" w:rsidRPr="007608F7">
        <w:rPr>
          <w:b w:val="0"/>
          <w:szCs w:val="28"/>
        </w:rPr>
        <w:t xml:space="preserve">прогнозируются в объеме </w:t>
      </w:r>
      <w:r w:rsidR="00EC57ED" w:rsidRPr="007608F7">
        <w:rPr>
          <w:b w:val="0"/>
          <w:szCs w:val="28"/>
        </w:rPr>
        <w:t>2 577 998</w:t>
      </w:r>
      <w:r w:rsidR="003A59E3" w:rsidRPr="007608F7">
        <w:rPr>
          <w:b w:val="0"/>
          <w:szCs w:val="28"/>
        </w:rPr>
        <w:t> 747,09</w:t>
      </w:r>
      <w:r w:rsidR="00553819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="00B743F3" w:rsidRPr="007608F7">
        <w:rPr>
          <w:b w:val="0"/>
          <w:szCs w:val="28"/>
        </w:rPr>
        <w:t>, ч</w:t>
      </w:r>
      <w:r w:rsidR="00110C20" w:rsidRPr="007608F7">
        <w:rPr>
          <w:b w:val="0"/>
          <w:szCs w:val="28"/>
        </w:rPr>
        <w:t xml:space="preserve">то на </w:t>
      </w:r>
      <w:r w:rsidR="00EC57ED" w:rsidRPr="007608F7">
        <w:rPr>
          <w:b w:val="0"/>
          <w:szCs w:val="28"/>
        </w:rPr>
        <w:t>26 600</w:t>
      </w:r>
      <w:r w:rsidR="003A59E3" w:rsidRPr="007608F7">
        <w:rPr>
          <w:b w:val="0"/>
          <w:szCs w:val="28"/>
        </w:rPr>
        <w:t> 348,86</w:t>
      </w:r>
      <w:r w:rsidR="00732D93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="00110C20" w:rsidRPr="007608F7">
        <w:rPr>
          <w:b w:val="0"/>
          <w:szCs w:val="28"/>
        </w:rPr>
        <w:t xml:space="preserve"> </w:t>
      </w:r>
      <w:r w:rsidRPr="007608F7">
        <w:rPr>
          <w:b w:val="0"/>
          <w:szCs w:val="28"/>
        </w:rPr>
        <w:t xml:space="preserve">или </w:t>
      </w:r>
      <w:r w:rsidR="00732D93" w:rsidRPr="007608F7">
        <w:rPr>
          <w:b w:val="0"/>
          <w:szCs w:val="28"/>
        </w:rPr>
        <w:t xml:space="preserve">на </w:t>
      </w:r>
      <w:r w:rsidR="00EC57ED" w:rsidRPr="007608F7">
        <w:rPr>
          <w:b w:val="0"/>
          <w:szCs w:val="28"/>
        </w:rPr>
        <w:t>1,04</w:t>
      </w:r>
      <w:r w:rsidRPr="007608F7">
        <w:rPr>
          <w:b w:val="0"/>
          <w:szCs w:val="28"/>
        </w:rPr>
        <w:t>%</w:t>
      </w:r>
      <w:r w:rsidR="00110C20" w:rsidRPr="007608F7">
        <w:rPr>
          <w:b w:val="0"/>
          <w:szCs w:val="28"/>
        </w:rPr>
        <w:t xml:space="preserve"> </w:t>
      </w:r>
      <w:r w:rsidR="00EC57ED" w:rsidRPr="007608F7">
        <w:rPr>
          <w:b w:val="0"/>
          <w:szCs w:val="28"/>
        </w:rPr>
        <w:t>выше</w:t>
      </w:r>
      <w:r w:rsidR="00110C20" w:rsidRPr="007608F7">
        <w:rPr>
          <w:b w:val="0"/>
          <w:szCs w:val="28"/>
        </w:rPr>
        <w:t xml:space="preserve"> прогнозируемого поступления на </w:t>
      </w:r>
      <w:r w:rsidR="00DE0A2B" w:rsidRPr="007608F7">
        <w:rPr>
          <w:b w:val="0"/>
          <w:szCs w:val="28"/>
        </w:rPr>
        <w:t>2025</w:t>
      </w:r>
      <w:r w:rsidR="00816646" w:rsidRPr="007608F7">
        <w:rPr>
          <w:b w:val="0"/>
          <w:szCs w:val="28"/>
        </w:rPr>
        <w:t> </w:t>
      </w:r>
      <w:r w:rsidR="00110C20" w:rsidRPr="007608F7">
        <w:rPr>
          <w:b w:val="0"/>
          <w:szCs w:val="28"/>
        </w:rPr>
        <w:t xml:space="preserve">год, налоговые и неналоговые доходы составят </w:t>
      </w:r>
      <w:r w:rsidR="00EC57ED" w:rsidRPr="007608F7">
        <w:rPr>
          <w:b w:val="0"/>
          <w:szCs w:val="28"/>
        </w:rPr>
        <w:t>836 589</w:t>
      </w:r>
      <w:r w:rsidR="00D420BA" w:rsidRPr="007608F7">
        <w:rPr>
          <w:b w:val="0"/>
          <w:szCs w:val="28"/>
        </w:rPr>
        <w:t> 047,09</w:t>
      </w:r>
      <w:r w:rsidR="00377E24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="00110C20" w:rsidRPr="007608F7">
        <w:rPr>
          <w:b w:val="0"/>
          <w:szCs w:val="28"/>
        </w:rPr>
        <w:t xml:space="preserve">, что на </w:t>
      </w:r>
      <w:r w:rsidR="00EC57ED" w:rsidRPr="007608F7">
        <w:rPr>
          <w:b w:val="0"/>
          <w:szCs w:val="28"/>
        </w:rPr>
        <w:t>32 518</w:t>
      </w:r>
      <w:r w:rsidR="00D420BA" w:rsidRPr="007608F7">
        <w:rPr>
          <w:b w:val="0"/>
          <w:szCs w:val="28"/>
        </w:rPr>
        <w:t> 448,86</w:t>
      </w:r>
      <w:r w:rsidR="00816646" w:rsidRPr="007608F7">
        <w:rPr>
          <w:b w:val="0"/>
          <w:szCs w:val="28"/>
        </w:rPr>
        <w:t> </w:t>
      </w:r>
      <w:r w:rsidR="00FF6E69" w:rsidRPr="007608F7">
        <w:rPr>
          <w:b w:val="0"/>
          <w:szCs w:val="28"/>
        </w:rPr>
        <w:t>рубля</w:t>
      </w:r>
      <w:r w:rsidRPr="007608F7">
        <w:rPr>
          <w:b w:val="0"/>
          <w:szCs w:val="28"/>
        </w:rPr>
        <w:t xml:space="preserve"> или </w:t>
      </w:r>
      <w:r w:rsidR="00EC57ED" w:rsidRPr="007608F7">
        <w:rPr>
          <w:b w:val="0"/>
          <w:szCs w:val="28"/>
        </w:rPr>
        <w:t>4,04</w:t>
      </w:r>
      <w:r w:rsidRPr="007608F7">
        <w:rPr>
          <w:b w:val="0"/>
          <w:szCs w:val="28"/>
        </w:rPr>
        <w:t xml:space="preserve">% </w:t>
      </w:r>
      <w:r w:rsidR="009A4D7B" w:rsidRPr="007608F7">
        <w:rPr>
          <w:b w:val="0"/>
          <w:szCs w:val="28"/>
        </w:rPr>
        <w:t>выше</w:t>
      </w:r>
      <w:r w:rsidR="00110C20" w:rsidRPr="007608F7">
        <w:rPr>
          <w:b w:val="0"/>
          <w:szCs w:val="28"/>
        </w:rPr>
        <w:t xml:space="preserve"> прогнозируемых поступлений </w:t>
      </w:r>
      <w:r w:rsidR="00DE0A2B" w:rsidRPr="007608F7">
        <w:rPr>
          <w:b w:val="0"/>
          <w:szCs w:val="28"/>
        </w:rPr>
        <w:t>2025</w:t>
      </w:r>
      <w:r w:rsidR="00816646" w:rsidRPr="007608F7">
        <w:rPr>
          <w:b w:val="0"/>
          <w:szCs w:val="28"/>
        </w:rPr>
        <w:t> </w:t>
      </w:r>
      <w:r w:rsidR="00CC453E" w:rsidRPr="007608F7">
        <w:rPr>
          <w:b w:val="0"/>
          <w:szCs w:val="28"/>
        </w:rPr>
        <w:t>года.</w:t>
      </w:r>
    </w:p>
    <w:p w14:paraId="4FA73EF8" w14:textId="77777777" w:rsidR="00AA3C41" w:rsidRPr="007608F7" w:rsidRDefault="00AA3C41" w:rsidP="00EB44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5ED04BC" w14:textId="77777777" w:rsidR="00110C20" w:rsidRPr="007608F7" w:rsidRDefault="00110C20" w:rsidP="00EB4484">
      <w:pPr>
        <w:pStyle w:val="ac"/>
        <w:keepNext/>
        <w:widowControl w:val="0"/>
        <w:spacing w:line="228" w:lineRule="auto"/>
        <w:ind w:firstLine="0"/>
        <w:jc w:val="center"/>
        <w:rPr>
          <w:b w:val="0"/>
          <w:smallCaps/>
          <w:szCs w:val="28"/>
        </w:rPr>
      </w:pPr>
      <w:r w:rsidRPr="007608F7">
        <w:rPr>
          <w:b w:val="0"/>
          <w:smallCaps/>
          <w:szCs w:val="28"/>
        </w:rPr>
        <w:t xml:space="preserve">ОСОБЕННОСТИ ПЛАНИРОВАНИЯ ПОСТУПЛЕНИЙ В БЮДЖЕТ </w:t>
      </w:r>
      <w:r w:rsidR="00036F1B" w:rsidRPr="007608F7">
        <w:rPr>
          <w:b w:val="0"/>
          <w:smallCaps/>
          <w:szCs w:val="28"/>
        </w:rPr>
        <w:t xml:space="preserve">ГОРОДА </w:t>
      </w:r>
      <w:r w:rsidRPr="007608F7">
        <w:rPr>
          <w:b w:val="0"/>
          <w:smallCaps/>
          <w:szCs w:val="28"/>
        </w:rPr>
        <w:t>ПО ОТДЕЛЬНЫМ ВИДАМ ДОХОДОВ</w:t>
      </w:r>
    </w:p>
    <w:p w14:paraId="50DB9F13" w14:textId="77777777" w:rsidR="00242E42" w:rsidRPr="007608F7" w:rsidRDefault="00242E42" w:rsidP="00EB4484">
      <w:pPr>
        <w:keepNext/>
        <w:widowControl w:val="0"/>
        <w:ind w:firstLine="720"/>
        <w:jc w:val="both"/>
      </w:pPr>
    </w:p>
    <w:p w14:paraId="147282A2" w14:textId="5FE8417B" w:rsidR="007C67F4" w:rsidRPr="007608F7" w:rsidRDefault="007C67F4" w:rsidP="00EB4484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Прогнозы поступлений доходов</w:t>
      </w:r>
      <w:r w:rsidR="00AD17F6" w:rsidRPr="007608F7">
        <w:rPr>
          <w:sz w:val="28"/>
          <w:szCs w:val="28"/>
        </w:rPr>
        <w:t xml:space="preserve"> в бюджет города, рассчитанные </w:t>
      </w:r>
      <w:r w:rsidRPr="007608F7">
        <w:rPr>
          <w:sz w:val="28"/>
          <w:szCs w:val="28"/>
        </w:rPr>
        <w:t xml:space="preserve">исходя из полномочий, установленных статьей 160.1 Бюджетного кодекса </w:t>
      </w:r>
      <w:r w:rsidR="00CB6D45" w:rsidRPr="007608F7">
        <w:rPr>
          <w:sz w:val="28"/>
          <w:szCs w:val="28"/>
        </w:rPr>
        <w:t>Российской Федерации,</w:t>
      </w:r>
      <w:r w:rsidRPr="007608F7">
        <w:rPr>
          <w:sz w:val="28"/>
          <w:szCs w:val="28"/>
        </w:rPr>
        <w:t xml:space="preserve"> были представлены главными администраторами доходов </w:t>
      </w:r>
      <w:r w:rsidR="00AD17F6" w:rsidRPr="007608F7">
        <w:rPr>
          <w:sz w:val="28"/>
          <w:szCs w:val="28"/>
        </w:rPr>
        <w:t xml:space="preserve">в </w:t>
      </w:r>
      <w:r w:rsidRPr="007608F7">
        <w:rPr>
          <w:sz w:val="28"/>
          <w:szCs w:val="28"/>
        </w:rPr>
        <w:t>комитет по финансам администрации города Усолье-Сибирское.</w:t>
      </w:r>
    </w:p>
    <w:p w14:paraId="080A3574" w14:textId="77777777" w:rsidR="008E4DF3" w:rsidRPr="007608F7" w:rsidRDefault="00D94F5B" w:rsidP="00EB44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Составление и обоснование доходной части </w:t>
      </w:r>
      <w:r w:rsidR="008E4DF3" w:rsidRPr="007608F7">
        <w:rPr>
          <w:sz w:val="28"/>
          <w:szCs w:val="28"/>
        </w:rPr>
        <w:t xml:space="preserve">бюджета произведены на основании прогнозов поступления доходов, </w:t>
      </w:r>
      <w:r w:rsidR="00EB7EB3" w:rsidRPr="007608F7">
        <w:rPr>
          <w:sz w:val="28"/>
          <w:szCs w:val="28"/>
        </w:rPr>
        <w:t xml:space="preserve">и </w:t>
      </w:r>
      <w:r w:rsidR="008E4DF3" w:rsidRPr="007608F7">
        <w:rPr>
          <w:sz w:val="28"/>
          <w:szCs w:val="28"/>
        </w:rPr>
        <w:t>ожидаемой оценк</w:t>
      </w:r>
      <w:r w:rsidR="00EB7EB3" w:rsidRPr="007608F7">
        <w:rPr>
          <w:sz w:val="28"/>
          <w:szCs w:val="28"/>
        </w:rPr>
        <w:t>и</w:t>
      </w:r>
      <w:r w:rsidR="008E4DF3" w:rsidRPr="007608F7">
        <w:rPr>
          <w:sz w:val="28"/>
          <w:szCs w:val="28"/>
        </w:rPr>
        <w:t xml:space="preserve"> исполнения бюджета, предоставленных</w:t>
      </w:r>
      <w:r w:rsidR="009D5643" w:rsidRPr="007608F7">
        <w:rPr>
          <w:sz w:val="28"/>
          <w:szCs w:val="28"/>
        </w:rPr>
        <w:t xml:space="preserve"> в соответствии с постановлением администрации города от </w:t>
      </w:r>
      <w:r w:rsidR="0033634B" w:rsidRPr="007608F7">
        <w:rPr>
          <w:sz w:val="28"/>
          <w:szCs w:val="28"/>
        </w:rPr>
        <w:t>18.06</w:t>
      </w:r>
      <w:r w:rsidR="009D5643" w:rsidRPr="007608F7">
        <w:rPr>
          <w:sz w:val="28"/>
          <w:szCs w:val="28"/>
        </w:rPr>
        <w:t>.</w:t>
      </w:r>
      <w:r w:rsidR="00742C5A" w:rsidRPr="007608F7">
        <w:rPr>
          <w:sz w:val="28"/>
          <w:szCs w:val="28"/>
        </w:rPr>
        <w:t>2019</w:t>
      </w:r>
      <w:r w:rsidR="00C03D5D" w:rsidRPr="007608F7">
        <w:rPr>
          <w:sz w:val="28"/>
          <w:szCs w:val="28"/>
        </w:rPr>
        <w:t> </w:t>
      </w:r>
      <w:r w:rsidR="009D5643" w:rsidRPr="007608F7">
        <w:rPr>
          <w:sz w:val="28"/>
          <w:szCs w:val="28"/>
        </w:rPr>
        <w:t>г. № </w:t>
      </w:r>
      <w:r w:rsidR="0033634B" w:rsidRPr="007608F7">
        <w:rPr>
          <w:sz w:val="28"/>
          <w:szCs w:val="28"/>
        </w:rPr>
        <w:t>1509</w:t>
      </w:r>
      <w:r w:rsidRPr="007608F7">
        <w:rPr>
          <w:sz w:val="28"/>
          <w:szCs w:val="28"/>
        </w:rPr>
        <w:t xml:space="preserve"> </w:t>
      </w:r>
      <w:r w:rsidR="009D5643" w:rsidRPr="007608F7">
        <w:rPr>
          <w:sz w:val="28"/>
          <w:szCs w:val="28"/>
        </w:rPr>
        <w:t xml:space="preserve">«Об утверждении </w:t>
      </w:r>
      <w:r w:rsidR="0033634B" w:rsidRPr="007608F7">
        <w:rPr>
          <w:sz w:val="28"/>
          <w:szCs w:val="28"/>
        </w:rPr>
        <w:t>Правил составления проекта бюджета города Усолье-Сибирское и порядка работы над документами и материалами, представляемыми в Дум</w:t>
      </w:r>
      <w:r w:rsidR="009D5643" w:rsidRPr="007608F7">
        <w:rPr>
          <w:sz w:val="28"/>
          <w:szCs w:val="28"/>
        </w:rPr>
        <w:t>у города Усолье-Сибирское одновременно с проектом бюджета города</w:t>
      </w:r>
      <w:r w:rsidR="0033634B" w:rsidRPr="007608F7">
        <w:rPr>
          <w:sz w:val="28"/>
          <w:szCs w:val="28"/>
        </w:rPr>
        <w:t>»</w:t>
      </w:r>
      <w:r w:rsidR="009D5643" w:rsidRPr="007608F7">
        <w:rPr>
          <w:sz w:val="28"/>
          <w:szCs w:val="28"/>
        </w:rPr>
        <w:t>:</w:t>
      </w:r>
    </w:p>
    <w:p w14:paraId="0AB16A40" w14:textId="7A58B128" w:rsidR="00DD5382" w:rsidRPr="007608F7" w:rsidRDefault="008E4DF3" w:rsidP="00EB4484">
      <w:pPr>
        <w:widowControl w:val="0"/>
        <w:numPr>
          <w:ilvl w:val="0"/>
          <w:numId w:val="32"/>
        </w:numPr>
        <w:tabs>
          <w:tab w:val="num" w:pos="0"/>
          <w:tab w:val="num" w:pos="1080"/>
          <w:tab w:val="num" w:pos="3495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главными администраторами доходов бюджета – федеральными органами государственной власти, в соответствии с постановлением Правительства Российской Федерации от 29.12.2007</w:t>
      </w:r>
      <w:r w:rsidR="00C03D5D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г. № 995 </w:t>
      </w:r>
      <w:r w:rsidR="00DD5382" w:rsidRPr="007608F7">
        <w:rPr>
          <w:sz w:val="28"/>
          <w:szCs w:val="28"/>
        </w:rPr>
        <w:t>«</w:t>
      </w:r>
      <w:r w:rsidR="009064B5" w:rsidRPr="007608F7">
        <w:rPr>
          <w:sz w:val="28"/>
          <w:szCs w:val="28"/>
        </w:rPr>
        <w:t>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</w:t>
      </w:r>
      <w:r w:rsidR="00DD5382" w:rsidRPr="007608F7">
        <w:rPr>
          <w:sz w:val="28"/>
          <w:szCs w:val="28"/>
        </w:rPr>
        <w:t>»;</w:t>
      </w:r>
    </w:p>
    <w:p w14:paraId="3E37DEF5" w14:textId="3F74C604" w:rsidR="00F625C4" w:rsidRPr="007608F7" w:rsidRDefault="00F625C4" w:rsidP="00EB4484">
      <w:pPr>
        <w:widowControl w:val="0"/>
        <w:numPr>
          <w:ilvl w:val="0"/>
          <w:numId w:val="32"/>
        </w:numPr>
        <w:tabs>
          <w:tab w:val="num" w:pos="0"/>
          <w:tab w:val="num" w:pos="1080"/>
          <w:tab w:val="num" w:pos="3495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главными администраторами доходов бюджета – областными органами государственной власти, в соответствии с постановлением</w:t>
      </w:r>
      <w:r w:rsidRPr="007608F7">
        <w:rPr>
          <w:rFonts w:eastAsia="MS Mincho"/>
          <w:sz w:val="28"/>
          <w:szCs w:val="28"/>
        </w:rPr>
        <w:t xml:space="preserve"> Правительства Иркутской области от 12.07.2010 № 167-пп «О Порядке осуществления органами государственной власти (государственными органами) Иркутской области, органами управления территориальными государственными внебюджетными фондами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Федерации»;</w:t>
      </w:r>
    </w:p>
    <w:p w14:paraId="5345DB30" w14:textId="77777777" w:rsidR="008A0F85" w:rsidRPr="007608F7" w:rsidRDefault="008A0F85" w:rsidP="00EB4484">
      <w:pPr>
        <w:widowControl w:val="0"/>
        <w:numPr>
          <w:ilvl w:val="0"/>
          <w:numId w:val="32"/>
        </w:numPr>
        <w:tabs>
          <w:tab w:val="num" w:pos="0"/>
          <w:tab w:val="num" w:pos="1080"/>
          <w:tab w:val="num" w:pos="3495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lastRenderedPageBreak/>
        <w:t>главными администраторами доходов бюджета – органами местного самоуправления, в соответствии с постановлением администрации города от 28.01.2016</w:t>
      </w:r>
      <w:r w:rsidR="00C03D5D" w:rsidRPr="007608F7">
        <w:rPr>
          <w:sz w:val="28"/>
          <w:szCs w:val="28"/>
        </w:rPr>
        <w:t> г. № </w:t>
      </w:r>
      <w:r w:rsidRPr="007608F7">
        <w:rPr>
          <w:sz w:val="28"/>
          <w:szCs w:val="28"/>
        </w:rPr>
        <w:t>128 «О Порядке осуществления органами местного самоуправления и (или) находящимися в их ведении казенными учреждениями бюджетных полномочий главных администраторов доходов бюджета города Усолье-Сибирское»</w:t>
      </w:r>
      <w:r w:rsidR="00565C6B" w:rsidRPr="007608F7">
        <w:rPr>
          <w:sz w:val="28"/>
          <w:szCs w:val="28"/>
        </w:rPr>
        <w:t>.</w:t>
      </w:r>
    </w:p>
    <w:p w14:paraId="39F69448" w14:textId="77777777" w:rsidR="008E4DF3" w:rsidRPr="007608F7" w:rsidRDefault="008E4DF3" w:rsidP="00EB4484">
      <w:pPr>
        <w:widowControl w:val="0"/>
        <w:ind w:firstLine="709"/>
        <w:jc w:val="both"/>
        <w:rPr>
          <w:sz w:val="22"/>
          <w:szCs w:val="22"/>
        </w:rPr>
      </w:pPr>
    </w:p>
    <w:p w14:paraId="43A371D0" w14:textId="77777777" w:rsidR="00C12B15" w:rsidRPr="007608F7" w:rsidRDefault="00C12B15" w:rsidP="00EB4484">
      <w:pPr>
        <w:pStyle w:val="ac"/>
        <w:keepNext/>
        <w:widowControl w:val="0"/>
        <w:ind w:firstLine="0"/>
        <w:rPr>
          <w:szCs w:val="28"/>
          <w:u w:val="single"/>
        </w:rPr>
      </w:pPr>
      <w:r w:rsidRPr="007608F7">
        <w:rPr>
          <w:szCs w:val="28"/>
          <w:u w:val="single"/>
        </w:rPr>
        <w:t>Налоговые доходы</w:t>
      </w:r>
    </w:p>
    <w:p w14:paraId="7052025D" w14:textId="0EDF5C57" w:rsidR="00C12B15" w:rsidRPr="007608F7" w:rsidRDefault="00C12B15" w:rsidP="00EB4484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поступлений налоговых доходов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составляет </w:t>
      </w:r>
      <w:r w:rsidR="00EC57ED" w:rsidRPr="007608F7">
        <w:rPr>
          <w:sz w:val="28"/>
          <w:szCs w:val="28"/>
        </w:rPr>
        <w:t>680</w:t>
      </w:r>
      <w:r w:rsidR="00D420BA" w:rsidRPr="007608F7">
        <w:rPr>
          <w:sz w:val="28"/>
          <w:szCs w:val="28"/>
        </w:rPr>
        <w:t> 317 069,73</w:t>
      </w:r>
      <w:r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 xml:space="preserve">, что на </w:t>
      </w:r>
      <w:r w:rsidR="00EC57ED" w:rsidRPr="007608F7">
        <w:rPr>
          <w:sz w:val="28"/>
          <w:szCs w:val="28"/>
        </w:rPr>
        <w:t>12,31</w:t>
      </w:r>
      <w:r w:rsidRPr="007608F7">
        <w:rPr>
          <w:sz w:val="28"/>
          <w:szCs w:val="28"/>
        </w:rPr>
        <w:t xml:space="preserve">% или </w:t>
      </w:r>
      <w:r w:rsidR="002D25AD" w:rsidRPr="007608F7">
        <w:rPr>
          <w:sz w:val="28"/>
          <w:szCs w:val="28"/>
        </w:rPr>
        <w:t xml:space="preserve">на </w:t>
      </w:r>
      <w:r w:rsidR="00EC57ED" w:rsidRPr="007608F7">
        <w:rPr>
          <w:sz w:val="28"/>
          <w:szCs w:val="28"/>
        </w:rPr>
        <w:t>74 544 1</w:t>
      </w:r>
      <w:r w:rsidR="00D420BA" w:rsidRPr="007608F7">
        <w:rPr>
          <w:sz w:val="28"/>
          <w:szCs w:val="28"/>
        </w:rPr>
        <w:t>060,48</w:t>
      </w:r>
      <w:r w:rsidR="00364482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 xml:space="preserve"> </w:t>
      </w:r>
      <w:r w:rsidR="00D80D76" w:rsidRPr="007608F7">
        <w:rPr>
          <w:sz w:val="28"/>
          <w:szCs w:val="28"/>
        </w:rPr>
        <w:t>выше</w:t>
      </w:r>
      <w:r w:rsidRPr="007608F7">
        <w:rPr>
          <w:sz w:val="28"/>
          <w:szCs w:val="28"/>
        </w:rPr>
        <w:t xml:space="preserve"> оценки ожидаемого поступления данных доходов в </w:t>
      </w:r>
      <w:r w:rsidR="0091784C" w:rsidRPr="007608F7">
        <w:rPr>
          <w:sz w:val="28"/>
          <w:szCs w:val="28"/>
        </w:rPr>
        <w:t>202</w:t>
      </w:r>
      <w:r w:rsidR="00EC57ED" w:rsidRPr="007608F7">
        <w:rPr>
          <w:sz w:val="28"/>
          <w:szCs w:val="28"/>
        </w:rPr>
        <w:t>3</w:t>
      </w:r>
      <w:r w:rsidR="00266C82" w:rsidRPr="007608F7">
        <w:rPr>
          <w:sz w:val="28"/>
          <w:szCs w:val="28"/>
        </w:rPr>
        <w:t xml:space="preserve"> году</w:t>
      </w:r>
      <w:r w:rsidR="002D25AD" w:rsidRPr="007608F7">
        <w:rPr>
          <w:sz w:val="28"/>
          <w:szCs w:val="28"/>
        </w:rPr>
        <w:t xml:space="preserve">, на </w:t>
      </w:r>
      <w:r w:rsidR="00DE0A2B" w:rsidRPr="007608F7">
        <w:rPr>
          <w:sz w:val="28"/>
          <w:szCs w:val="28"/>
        </w:rPr>
        <w:t>2025</w:t>
      </w:r>
      <w:r w:rsidR="000C6332" w:rsidRPr="007608F7">
        <w:rPr>
          <w:sz w:val="28"/>
          <w:szCs w:val="28"/>
        </w:rPr>
        <w:t xml:space="preserve"> </w:t>
      </w:r>
      <w:r w:rsidR="00364482" w:rsidRPr="007608F7">
        <w:rPr>
          <w:sz w:val="28"/>
          <w:szCs w:val="28"/>
        </w:rPr>
        <w:t xml:space="preserve">год - составляет </w:t>
      </w:r>
      <w:r w:rsidR="00EC57ED" w:rsidRPr="007608F7">
        <w:rPr>
          <w:sz w:val="28"/>
          <w:szCs w:val="28"/>
        </w:rPr>
        <w:t>714 573</w:t>
      </w:r>
      <w:r w:rsidR="00D420BA" w:rsidRPr="007608F7">
        <w:rPr>
          <w:sz w:val="28"/>
          <w:szCs w:val="28"/>
        </w:rPr>
        <w:t> 894,36</w:t>
      </w:r>
      <w:r w:rsidR="00364482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0C6332" w:rsidRPr="007608F7">
        <w:rPr>
          <w:sz w:val="28"/>
          <w:szCs w:val="28"/>
        </w:rPr>
        <w:t xml:space="preserve">, на </w:t>
      </w:r>
      <w:r w:rsidR="00DE0A2B" w:rsidRPr="007608F7">
        <w:rPr>
          <w:sz w:val="28"/>
          <w:szCs w:val="28"/>
        </w:rPr>
        <w:t>2026</w:t>
      </w:r>
      <w:r w:rsidR="000C6332" w:rsidRPr="007608F7">
        <w:rPr>
          <w:sz w:val="28"/>
          <w:szCs w:val="28"/>
        </w:rPr>
        <w:t xml:space="preserve"> год </w:t>
      </w:r>
      <w:r w:rsidR="002D25AD" w:rsidRPr="007608F7">
        <w:rPr>
          <w:sz w:val="28"/>
          <w:szCs w:val="28"/>
        </w:rPr>
        <w:t>–</w:t>
      </w:r>
      <w:r w:rsidR="000C6332" w:rsidRPr="007608F7">
        <w:rPr>
          <w:sz w:val="28"/>
          <w:szCs w:val="28"/>
        </w:rPr>
        <w:t xml:space="preserve"> </w:t>
      </w:r>
      <w:r w:rsidR="00EC57ED" w:rsidRPr="007608F7">
        <w:rPr>
          <w:sz w:val="28"/>
          <w:szCs w:val="28"/>
        </w:rPr>
        <w:t>750 979</w:t>
      </w:r>
      <w:r w:rsidR="00D420BA" w:rsidRPr="007608F7">
        <w:rPr>
          <w:sz w:val="28"/>
          <w:szCs w:val="28"/>
        </w:rPr>
        <w:t> 157,76</w:t>
      </w:r>
      <w:r w:rsidR="000C6332" w:rsidRPr="007608F7">
        <w:rPr>
          <w:sz w:val="28"/>
          <w:szCs w:val="28"/>
        </w:rPr>
        <w:t xml:space="preserve"> 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>.</w:t>
      </w:r>
    </w:p>
    <w:p w14:paraId="1531A6C5" w14:textId="77777777" w:rsidR="00B06D65" w:rsidRPr="007608F7" w:rsidRDefault="00B06D65" w:rsidP="00EB4484">
      <w:pPr>
        <w:widowControl w:val="0"/>
        <w:ind w:firstLine="709"/>
        <w:jc w:val="both"/>
        <w:rPr>
          <w:sz w:val="22"/>
          <w:szCs w:val="22"/>
        </w:rPr>
      </w:pPr>
    </w:p>
    <w:p w14:paraId="2CD78625" w14:textId="77777777" w:rsidR="009A557C" w:rsidRPr="007608F7" w:rsidRDefault="009A557C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Налог на доходы физических лиц</w:t>
      </w:r>
    </w:p>
    <w:p w14:paraId="63420438" w14:textId="33008DCA" w:rsidR="009A557C" w:rsidRPr="007608F7" w:rsidRDefault="009A557C" w:rsidP="00EB4484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Поступления налога на доходы физических лиц на </w:t>
      </w:r>
      <w:r w:rsidR="00DE0A2B" w:rsidRPr="007608F7">
        <w:rPr>
          <w:sz w:val="28"/>
          <w:szCs w:val="28"/>
        </w:rPr>
        <w:t>2024</w:t>
      </w:r>
      <w:r w:rsidR="0081664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и на плановый период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 и </w:t>
      </w:r>
      <w:r w:rsidR="00DE0A2B" w:rsidRPr="007608F7">
        <w:rPr>
          <w:sz w:val="28"/>
          <w:szCs w:val="28"/>
        </w:rPr>
        <w:t>2026</w:t>
      </w:r>
      <w:r w:rsidR="0081664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годов запланированы с учетом темпа роста фонда заработной платы в соответствии с прогнозом социально-экономического развития города Усолье-Сибирское </w:t>
      </w:r>
      <w:r w:rsidR="00A64DA7" w:rsidRPr="007608F7">
        <w:rPr>
          <w:sz w:val="28"/>
          <w:szCs w:val="28"/>
        </w:rPr>
        <w:t xml:space="preserve">и </w:t>
      </w:r>
      <w:r w:rsidR="009F6C00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FB352D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9F6C00" w:rsidRPr="007608F7">
        <w:rPr>
          <w:sz w:val="28"/>
          <w:szCs w:val="28"/>
        </w:rPr>
        <w:t> год</w:t>
      </w:r>
      <w:r w:rsidR="00FB352D" w:rsidRPr="007608F7">
        <w:rPr>
          <w:sz w:val="28"/>
          <w:szCs w:val="28"/>
        </w:rPr>
        <w:t>ы</w:t>
      </w:r>
      <w:r w:rsidR="009F6C00" w:rsidRPr="007608F7">
        <w:rPr>
          <w:sz w:val="28"/>
          <w:szCs w:val="28"/>
        </w:rPr>
        <w:t xml:space="preserve"> </w:t>
      </w:r>
      <w:r w:rsidR="00A64DA7" w:rsidRPr="007608F7">
        <w:rPr>
          <w:sz w:val="28"/>
          <w:szCs w:val="28"/>
        </w:rPr>
        <w:t>соответствуют</w:t>
      </w:r>
      <w:r w:rsidRPr="007608F7">
        <w:rPr>
          <w:sz w:val="28"/>
          <w:szCs w:val="28"/>
        </w:rPr>
        <w:t xml:space="preserve"> информации главного администратора доходов бюджета города - Межрайонной ИФНС России № </w:t>
      </w:r>
      <w:r w:rsidR="00F625C4" w:rsidRPr="007608F7">
        <w:rPr>
          <w:sz w:val="28"/>
          <w:szCs w:val="28"/>
        </w:rPr>
        <w:t>21</w:t>
      </w:r>
      <w:r w:rsidR="00D80D76" w:rsidRPr="007608F7">
        <w:rPr>
          <w:sz w:val="28"/>
          <w:szCs w:val="28"/>
        </w:rPr>
        <w:t xml:space="preserve"> </w:t>
      </w:r>
      <w:r w:rsidRPr="007608F7">
        <w:rPr>
          <w:sz w:val="28"/>
          <w:szCs w:val="28"/>
        </w:rPr>
        <w:t>по Иркутской области.</w:t>
      </w:r>
    </w:p>
    <w:p w14:paraId="76A8BCD2" w14:textId="62B5C2EB" w:rsidR="00AD539D" w:rsidRPr="007608F7" w:rsidRDefault="009A557C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поступлений налога в бюджет города на </w:t>
      </w:r>
      <w:r w:rsidR="00DE0A2B" w:rsidRPr="007608F7">
        <w:rPr>
          <w:sz w:val="28"/>
          <w:szCs w:val="28"/>
        </w:rPr>
        <w:t>2024</w:t>
      </w:r>
      <w:r w:rsidR="0081664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составляет </w:t>
      </w:r>
      <w:r w:rsidR="00EC57ED" w:rsidRPr="007608F7">
        <w:rPr>
          <w:sz w:val="28"/>
          <w:szCs w:val="28"/>
        </w:rPr>
        <w:t>381 767 105,42</w:t>
      </w:r>
      <w:r w:rsidR="00671D84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</w:t>
      </w:r>
      <w:r w:rsidR="00D80D76" w:rsidRPr="007608F7">
        <w:rPr>
          <w:sz w:val="28"/>
          <w:szCs w:val="28"/>
        </w:rPr>
        <w:t>я</w:t>
      </w:r>
      <w:r w:rsidR="00671D84" w:rsidRPr="007608F7">
        <w:rPr>
          <w:sz w:val="28"/>
          <w:szCs w:val="28"/>
        </w:rPr>
        <w:t xml:space="preserve">, что на </w:t>
      </w:r>
      <w:r w:rsidR="00EC57ED" w:rsidRPr="007608F7">
        <w:rPr>
          <w:sz w:val="28"/>
          <w:szCs w:val="28"/>
        </w:rPr>
        <w:t>7,86</w:t>
      </w:r>
      <w:r w:rsidRPr="007608F7">
        <w:rPr>
          <w:sz w:val="28"/>
          <w:szCs w:val="28"/>
        </w:rPr>
        <w:t xml:space="preserve">% выше ожидаемого поступления </w:t>
      </w:r>
      <w:r w:rsidR="0091784C" w:rsidRPr="007608F7">
        <w:rPr>
          <w:sz w:val="28"/>
          <w:szCs w:val="28"/>
        </w:rPr>
        <w:t>202</w:t>
      </w:r>
      <w:r w:rsidR="00EC57ED" w:rsidRPr="007608F7">
        <w:rPr>
          <w:sz w:val="28"/>
          <w:szCs w:val="28"/>
        </w:rPr>
        <w:t>3</w:t>
      </w:r>
      <w:r w:rsidRPr="007608F7">
        <w:rPr>
          <w:sz w:val="28"/>
          <w:szCs w:val="28"/>
        </w:rPr>
        <w:t xml:space="preserve"> года, </w:t>
      </w:r>
      <w:r w:rsidR="00AD539D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="00AD539D" w:rsidRPr="007608F7">
        <w:rPr>
          <w:sz w:val="28"/>
          <w:szCs w:val="28"/>
        </w:rPr>
        <w:t xml:space="preserve"> год – </w:t>
      </w:r>
      <w:r w:rsidR="00EC57ED" w:rsidRPr="007608F7">
        <w:rPr>
          <w:sz w:val="28"/>
          <w:szCs w:val="28"/>
        </w:rPr>
        <w:t>407 232 680,87</w:t>
      </w:r>
      <w:r w:rsidR="00AD539D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AD539D" w:rsidRPr="007608F7">
        <w:rPr>
          <w:sz w:val="28"/>
          <w:szCs w:val="28"/>
        </w:rPr>
        <w:t xml:space="preserve">, что на </w:t>
      </w:r>
      <w:r w:rsidR="00EC57ED" w:rsidRPr="007608F7">
        <w:rPr>
          <w:sz w:val="28"/>
          <w:szCs w:val="28"/>
        </w:rPr>
        <w:t>6,67</w:t>
      </w:r>
      <w:r w:rsidR="00D80D76" w:rsidRPr="007608F7">
        <w:rPr>
          <w:sz w:val="28"/>
          <w:szCs w:val="28"/>
        </w:rPr>
        <w:t>%</w:t>
      </w:r>
      <w:r w:rsidR="00AD539D" w:rsidRPr="007608F7">
        <w:rPr>
          <w:sz w:val="28"/>
          <w:szCs w:val="28"/>
        </w:rPr>
        <w:t xml:space="preserve"> выше прогнозируемого поступления </w:t>
      </w:r>
      <w:r w:rsidR="00DE0A2B" w:rsidRPr="007608F7">
        <w:rPr>
          <w:sz w:val="28"/>
          <w:szCs w:val="28"/>
        </w:rPr>
        <w:t>2024</w:t>
      </w:r>
      <w:r w:rsidR="00AD539D" w:rsidRPr="007608F7">
        <w:rPr>
          <w:sz w:val="28"/>
          <w:szCs w:val="28"/>
        </w:rPr>
        <w:t xml:space="preserve"> года, в </w:t>
      </w:r>
      <w:r w:rsidR="00DE0A2B" w:rsidRPr="007608F7">
        <w:rPr>
          <w:sz w:val="28"/>
          <w:szCs w:val="28"/>
        </w:rPr>
        <w:t>2026</w:t>
      </w:r>
      <w:r w:rsidR="00AD539D" w:rsidRPr="007608F7">
        <w:rPr>
          <w:sz w:val="28"/>
          <w:szCs w:val="28"/>
        </w:rPr>
        <w:t xml:space="preserve"> году – </w:t>
      </w:r>
      <w:r w:rsidR="00BC13CF" w:rsidRPr="007608F7">
        <w:rPr>
          <w:sz w:val="28"/>
          <w:szCs w:val="28"/>
        </w:rPr>
        <w:t>434 399 937,06</w:t>
      </w:r>
      <w:r w:rsidR="00D80D76" w:rsidRPr="007608F7">
        <w:rPr>
          <w:sz w:val="28"/>
          <w:szCs w:val="28"/>
        </w:rPr>
        <w:t xml:space="preserve"> рубля, что на </w:t>
      </w:r>
      <w:r w:rsidR="00BC13CF" w:rsidRPr="007608F7">
        <w:rPr>
          <w:sz w:val="28"/>
          <w:szCs w:val="28"/>
        </w:rPr>
        <w:t>6,67</w:t>
      </w:r>
      <w:r w:rsidR="00D80D76" w:rsidRPr="007608F7">
        <w:rPr>
          <w:sz w:val="28"/>
          <w:szCs w:val="28"/>
        </w:rPr>
        <w:t xml:space="preserve">% выше прогнозируемого поступления </w:t>
      </w:r>
      <w:r w:rsidR="00DE0A2B" w:rsidRPr="007608F7">
        <w:rPr>
          <w:sz w:val="28"/>
          <w:szCs w:val="28"/>
        </w:rPr>
        <w:t>2025</w:t>
      </w:r>
      <w:r w:rsidR="00D80D76" w:rsidRPr="007608F7">
        <w:rPr>
          <w:sz w:val="28"/>
          <w:szCs w:val="28"/>
        </w:rPr>
        <w:t> года.</w:t>
      </w:r>
    </w:p>
    <w:p w14:paraId="4260B462" w14:textId="043E47A3" w:rsidR="007E0D58" w:rsidRPr="007608F7" w:rsidRDefault="009A557C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Норматив отчислений налога на доходы физических лиц на </w:t>
      </w:r>
      <w:r w:rsidR="00DE0A2B" w:rsidRPr="007608F7">
        <w:rPr>
          <w:sz w:val="28"/>
          <w:szCs w:val="28"/>
        </w:rPr>
        <w:t>2024</w:t>
      </w:r>
      <w:r w:rsidR="00816646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 в соответствии с бюджетным законодательством не изменился и составляет 26,5% в бюджет города от объема доходов по данному виду налога, мобилизованного с территории города.</w:t>
      </w:r>
    </w:p>
    <w:p w14:paraId="12F4E341" w14:textId="77777777" w:rsidR="007E0D58" w:rsidRPr="007608F7" w:rsidRDefault="007E0D58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Налог на доходы физических лиц в части суммы налога, превышающей 650 тыс. руб., относящейся к части налоговой базы, превышающей 5 млн. руб., в бюджет города зачисляется в размере 13 процентов и в размере 11,5 процента от объема доходов, подлежащего зачислению с территории города в консолидированный бюджет Иркутской области.</w:t>
      </w:r>
    </w:p>
    <w:p w14:paraId="57BEEB4F" w14:textId="77777777" w:rsidR="009A557C" w:rsidRPr="007608F7" w:rsidRDefault="009A557C" w:rsidP="00EB4484">
      <w:pPr>
        <w:widowControl w:val="0"/>
        <w:ind w:firstLine="709"/>
        <w:jc w:val="both"/>
        <w:rPr>
          <w:sz w:val="22"/>
          <w:szCs w:val="22"/>
        </w:rPr>
      </w:pPr>
    </w:p>
    <w:p w14:paraId="52562677" w14:textId="77777777" w:rsidR="009A557C" w:rsidRPr="007608F7" w:rsidRDefault="009A557C" w:rsidP="00EB4484">
      <w:pPr>
        <w:pStyle w:val="ac"/>
        <w:widowControl w:val="0"/>
        <w:ind w:firstLine="0"/>
        <w:rPr>
          <w:szCs w:val="28"/>
        </w:rPr>
      </w:pPr>
      <w:r w:rsidRPr="007608F7">
        <w:rPr>
          <w:szCs w:val="28"/>
        </w:rPr>
        <w:t xml:space="preserve">Акцизы </w:t>
      </w:r>
      <w:r w:rsidR="00264E41" w:rsidRPr="007608F7">
        <w:rPr>
          <w:szCs w:val="28"/>
        </w:rPr>
        <w:t>по подакцизным</w:t>
      </w:r>
      <w:r w:rsidRPr="007608F7">
        <w:rPr>
          <w:szCs w:val="28"/>
        </w:rPr>
        <w:t xml:space="preserve"> товарам</w:t>
      </w:r>
    </w:p>
    <w:p w14:paraId="4E0E8B3B" w14:textId="11752362" w:rsidR="009A557C" w:rsidRPr="007608F7" w:rsidRDefault="009A557C" w:rsidP="00EB4484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зачисляемых в бюджет города осуществлен исходя из передачи в бюджет города </w:t>
      </w:r>
      <w:r w:rsidR="00591CC6" w:rsidRPr="007608F7">
        <w:rPr>
          <w:sz w:val="28"/>
          <w:szCs w:val="28"/>
        </w:rPr>
        <w:t>0,</w:t>
      </w:r>
      <w:r w:rsidR="00D80D76" w:rsidRPr="007608F7">
        <w:rPr>
          <w:sz w:val="28"/>
          <w:szCs w:val="28"/>
        </w:rPr>
        <w:t>19</w:t>
      </w:r>
      <w:r w:rsidR="00BC13CF" w:rsidRPr="007608F7">
        <w:rPr>
          <w:sz w:val="28"/>
          <w:szCs w:val="28"/>
        </w:rPr>
        <w:t>715</w:t>
      </w:r>
      <w:r w:rsidRPr="007608F7">
        <w:rPr>
          <w:sz w:val="28"/>
          <w:szCs w:val="28"/>
        </w:rPr>
        <w:t>% доходов консолидированного бюджета Иркутской области от акцизов на нефтепродукты</w:t>
      </w:r>
      <w:r w:rsidR="00A64DA7" w:rsidRPr="007608F7">
        <w:rPr>
          <w:sz w:val="28"/>
          <w:szCs w:val="28"/>
        </w:rPr>
        <w:t>.</w:t>
      </w:r>
    </w:p>
    <w:p w14:paraId="1F0034C5" w14:textId="77777777" w:rsidR="00B513FE" w:rsidRPr="007608F7" w:rsidRDefault="00B513FE" w:rsidP="00EB4484">
      <w:pPr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При прогнозировании учтено </w:t>
      </w:r>
      <w:r w:rsidRPr="007608F7">
        <w:rPr>
          <w:rFonts w:eastAsia="MS Mincho"/>
          <w:sz w:val="28"/>
          <w:szCs w:val="28"/>
        </w:rPr>
        <w:t>зачисления в местные бюджеты не менее 15 процентов доходов консолидированного бюджета Иркутской области от акцизов на нефтепродукты.</w:t>
      </w:r>
    </w:p>
    <w:p w14:paraId="0363F201" w14:textId="05D37539" w:rsidR="006862D3" w:rsidRPr="007608F7" w:rsidRDefault="006464E8" w:rsidP="00EB4484">
      <w:pPr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</w:t>
      </w:r>
      <w:r w:rsidR="003320EC" w:rsidRPr="007608F7">
        <w:rPr>
          <w:sz w:val="28"/>
          <w:szCs w:val="28"/>
        </w:rPr>
        <w:t xml:space="preserve">рассчитан в соответствии с проектом федерального закона </w:t>
      </w:r>
      <w:r w:rsidR="003F1B81" w:rsidRPr="007608F7">
        <w:rPr>
          <w:sz w:val="28"/>
          <w:szCs w:val="28"/>
        </w:rPr>
        <w:t xml:space="preserve">№ </w:t>
      </w:r>
      <w:r w:rsidR="006862D3" w:rsidRPr="007608F7">
        <w:rPr>
          <w:sz w:val="28"/>
          <w:szCs w:val="28"/>
        </w:rPr>
        <w:t>448554-8 «О федеральном бюджете на 2024 год и на плановый период 2025 и 2026 годов».</w:t>
      </w:r>
    </w:p>
    <w:p w14:paraId="0B58F347" w14:textId="3CDE7A42" w:rsidR="009A557C" w:rsidRPr="007608F7" w:rsidRDefault="009A557C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Сумма поступлений акцизов в бюджет города на </w:t>
      </w:r>
      <w:r w:rsidR="00DE0A2B" w:rsidRPr="007608F7">
        <w:rPr>
          <w:sz w:val="28"/>
          <w:szCs w:val="28"/>
        </w:rPr>
        <w:t>2024</w:t>
      </w:r>
      <w:r w:rsidR="00E66CD3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составляет </w:t>
      </w:r>
      <w:r w:rsidR="00BC13CF" w:rsidRPr="007608F7">
        <w:rPr>
          <w:sz w:val="28"/>
          <w:szCs w:val="28"/>
        </w:rPr>
        <w:t>20 394</w:t>
      </w:r>
      <w:r w:rsidR="00916F8B" w:rsidRPr="007608F7">
        <w:rPr>
          <w:sz w:val="28"/>
          <w:szCs w:val="28"/>
        </w:rPr>
        <w:t> 000,00 </w:t>
      </w:r>
      <w:r w:rsidR="00FF6E69" w:rsidRPr="007608F7">
        <w:rPr>
          <w:sz w:val="28"/>
          <w:szCs w:val="28"/>
        </w:rPr>
        <w:t>рубл</w:t>
      </w:r>
      <w:r w:rsidR="005A06EA" w:rsidRPr="007608F7">
        <w:rPr>
          <w:sz w:val="28"/>
          <w:szCs w:val="28"/>
        </w:rPr>
        <w:t>ей</w:t>
      </w:r>
      <w:r w:rsidRPr="007608F7">
        <w:rPr>
          <w:sz w:val="28"/>
          <w:szCs w:val="28"/>
        </w:rPr>
        <w:t xml:space="preserve">, что на </w:t>
      </w:r>
      <w:r w:rsidR="00BC13CF" w:rsidRPr="007608F7">
        <w:rPr>
          <w:sz w:val="28"/>
          <w:szCs w:val="28"/>
        </w:rPr>
        <w:t>8,19</w:t>
      </w:r>
      <w:r w:rsidR="00591CC6" w:rsidRPr="007608F7">
        <w:rPr>
          <w:sz w:val="28"/>
          <w:szCs w:val="28"/>
        </w:rPr>
        <w:t>% в</w:t>
      </w:r>
      <w:r w:rsidRPr="007608F7">
        <w:rPr>
          <w:sz w:val="28"/>
          <w:szCs w:val="28"/>
        </w:rPr>
        <w:t xml:space="preserve">ыше ожидаемого поступления </w:t>
      </w:r>
      <w:r w:rsidR="0091784C" w:rsidRPr="007608F7">
        <w:rPr>
          <w:sz w:val="28"/>
          <w:szCs w:val="28"/>
        </w:rPr>
        <w:t>202</w:t>
      </w:r>
      <w:r w:rsidR="00BC13CF" w:rsidRPr="007608F7">
        <w:rPr>
          <w:sz w:val="28"/>
          <w:szCs w:val="28"/>
        </w:rPr>
        <w:t>3</w:t>
      </w:r>
      <w:r w:rsidR="00E66CD3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года, на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 год – </w:t>
      </w:r>
      <w:r w:rsidR="00BC13CF" w:rsidRPr="007608F7">
        <w:rPr>
          <w:sz w:val="28"/>
          <w:szCs w:val="28"/>
        </w:rPr>
        <w:t>21 013</w:t>
      </w:r>
      <w:r w:rsidR="00916F8B" w:rsidRPr="007608F7">
        <w:rPr>
          <w:sz w:val="28"/>
          <w:szCs w:val="28"/>
        </w:rPr>
        <w:t> 800,00</w:t>
      </w:r>
      <w:r w:rsidR="00C22AA7" w:rsidRPr="007608F7">
        <w:rPr>
          <w:sz w:val="28"/>
          <w:szCs w:val="28"/>
        </w:rPr>
        <w:t xml:space="preserve"> </w:t>
      </w:r>
      <w:r w:rsidR="005A06EA" w:rsidRPr="007608F7">
        <w:rPr>
          <w:sz w:val="28"/>
          <w:szCs w:val="28"/>
        </w:rPr>
        <w:t>рублей</w:t>
      </w:r>
      <w:r w:rsidRPr="007608F7">
        <w:rPr>
          <w:sz w:val="28"/>
          <w:szCs w:val="28"/>
        </w:rPr>
        <w:t xml:space="preserve">, что на </w:t>
      </w:r>
      <w:r w:rsidR="00BC13CF" w:rsidRPr="007608F7">
        <w:rPr>
          <w:sz w:val="28"/>
          <w:szCs w:val="28"/>
        </w:rPr>
        <w:t>3,04</w:t>
      </w:r>
      <w:r w:rsidRPr="007608F7">
        <w:rPr>
          <w:sz w:val="28"/>
          <w:szCs w:val="28"/>
        </w:rPr>
        <w:t xml:space="preserve">% выше </w:t>
      </w:r>
      <w:r w:rsidR="007B44AF" w:rsidRPr="007608F7">
        <w:rPr>
          <w:sz w:val="28"/>
          <w:szCs w:val="28"/>
        </w:rPr>
        <w:t>прогнозируемого поступления</w:t>
      </w:r>
      <w:r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года, в </w:t>
      </w:r>
      <w:r w:rsidR="00DE0A2B" w:rsidRPr="007608F7">
        <w:rPr>
          <w:sz w:val="28"/>
          <w:szCs w:val="28"/>
        </w:rPr>
        <w:t>2026</w:t>
      </w:r>
      <w:r w:rsidR="00E66CD3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году –</w:t>
      </w:r>
      <w:r w:rsidR="007B44AF" w:rsidRPr="007608F7">
        <w:rPr>
          <w:sz w:val="28"/>
          <w:szCs w:val="28"/>
        </w:rPr>
        <w:t xml:space="preserve"> </w:t>
      </w:r>
      <w:r w:rsidR="00BC13CF" w:rsidRPr="007608F7">
        <w:rPr>
          <w:sz w:val="28"/>
          <w:szCs w:val="28"/>
        </w:rPr>
        <w:t>21 743 </w:t>
      </w:r>
      <w:r w:rsidR="00916F8B" w:rsidRPr="007608F7">
        <w:rPr>
          <w:sz w:val="28"/>
          <w:szCs w:val="28"/>
        </w:rPr>
        <w:t>100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 xml:space="preserve">, что на </w:t>
      </w:r>
      <w:r w:rsidR="00BC13CF" w:rsidRPr="007608F7">
        <w:rPr>
          <w:sz w:val="28"/>
          <w:szCs w:val="28"/>
        </w:rPr>
        <w:t>3,47</w:t>
      </w:r>
      <w:r w:rsidRPr="007608F7">
        <w:rPr>
          <w:sz w:val="28"/>
          <w:szCs w:val="28"/>
        </w:rPr>
        <w:t xml:space="preserve">% </w:t>
      </w:r>
      <w:r w:rsidR="007B44AF" w:rsidRPr="007608F7">
        <w:rPr>
          <w:sz w:val="28"/>
          <w:szCs w:val="28"/>
        </w:rPr>
        <w:t>выше прогнозируемого</w:t>
      </w:r>
      <w:r w:rsidRPr="007608F7">
        <w:rPr>
          <w:sz w:val="28"/>
          <w:szCs w:val="28"/>
        </w:rPr>
        <w:t xml:space="preserve"> поступления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> года.</w:t>
      </w:r>
    </w:p>
    <w:p w14:paraId="6E79A921" w14:textId="6B28FCFB" w:rsidR="009A557C" w:rsidRPr="007608F7" w:rsidRDefault="009A557C" w:rsidP="00EB4484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 данному виду поступлений в полном объеме является источником формирования ассигнований муниципального дорожного фонда на </w:t>
      </w:r>
      <w:r w:rsidR="00DE0A2B" w:rsidRPr="007608F7">
        <w:rPr>
          <w:sz w:val="28"/>
          <w:szCs w:val="28"/>
        </w:rPr>
        <w:t>2024</w:t>
      </w:r>
      <w:r w:rsidR="00591CC6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> годы.</w:t>
      </w:r>
    </w:p>
    <w:p w14:paraId="4C5A5BFC" w14:textId="77777777" w:rsidR="009A557C" w:rsidRPr="007608F7" w:rsidRDefault="009A557C" w:rsidP="00EB4484">
      <w:pPr>
        <w:widowControl w:val="0"/>
        <w:ind w:firstLine="709"/>
        <w:jc w:val="both"/>
        <w:rPr>
          <w:sz w:val="22"/>
          <w:szCs w:val="22"/>
        </w:rPr>
      </w:pPr>
    </w:p>
    <w:p w14:paraId="4187BC45" w14:textId="77777777" w:rsidR="00C1076E" w:rsidRPr="007608F7" w:rsidRDefault="00C1076E" w:rsidP="00EB4484">
      <w:pPr>
        <w:pStyle w:val="ac"/>
        <w:keepNext/>
        <w:ind w:firstLine="0"/>
        <w:rPr>
          <w:szCs w:val="28"/>
        </w:rPr>
      </w:pPr>
      <w:r w:rsidRPr="007608F7">
        <w:rPr>
          <w:szCs w:val="28"/>
        </w:rPr>
        <w:t>Налог, взимаемый в связи с применением упрощенной системы налогообложения</w:t>
      </w:r>
    </w:p>
    <w:p w14:paraId="0F4E8839" w14:textId="646EE1AE" w:rsidR="001B2FEC" w:rsidRPr="007608F7" w:rsidRDefault="001B2FEC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поступления налога, взимаемого в связи с применением упрощенной системы налогообложения на </w:t>
      </w:r>
      <w:r w:rsidR="00DE0A2B" w:rsidRPr="007608F7">
        <w:rPr>
          <w:sz w:val="28"/>
          <w:szCs w:val="28"/>
        </w:rPr>
        <w:t>2024</w:t>
      </w:r>
      <w:r w:rsidR="00764378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764378" w:rsidRPr="007608F7">
        <w:rPr>
          <w:sz w:val="28"/>
          <w:szCs w:val="28"/>
        </w:rPr>
        <w:t xml:space="preserve"> годы</w:t>
      </w:r>
      <w:r w:rsidRPr="007608F7">
        <w:rPr>
          <w:sz w:val="28"/>
          <w:szCs w:val="28"/>
        </w:rPr>
        <w:t xml:space="preserve"> осуществлен </w:t>
      </w:r>
      <w:r w:rsidR="005C1C10" w:rsidRPr="007608F7">
        <w:rPr>
          <w:sz w:val="28"/>
          <w:szCs w:val="28"/>
        </w:rPr>
        <w:t>с учетом действующего законодательства, данных о  динамике налоговой базы</w:t>
      </w:r>
      <w:r w:rsidR="00764378" w:rsidRPr="007608F7">
        <w:rPr>
          <w:sz w:val="28"/>
          <w:szCs w:val="28"/>
        </w:rPr>
        <w:t xml:space="preserve"> на основе статистической налоговой отчетности, налоговых ставок, льгот и преференций</w:t>
      </w:r>
      <w:r w:rsidRPr="007608F7">
        <w:rPr>
          <w:sz w:val="28"/>
          <w:szCs w:val="28"/>
        </w:rPr>
        <w:t xml:space="preserve">, и соответствует данным главного администратора – Межрайонной ИФНС России № </w:t>
      </w:r>
      <w:r w:rsidR="002A7AC7" w:rsidRPr="007608F7">
        <w:rPr>
          <w:sz w:val="28"/>
          <w:szCs w:val="28"/>
        </w:rPr>
        <w:t>21</w:t>
      </w:r>
      <w:r w:rsidRPr="007608F7">
        <w:rPr>
          <w:sz w:val="28"/>
          <w:szCs w:val="28"/>
        </w:rPr>
        <w:t xml:space="preserve"> по Иркутской области. </w:t>
      </w:r>
    </w:p>
    <w:p w14:paraId="5FD2C30F" w14:textId="1678B580" w:rsidR="00BC13CF" w:rsidRPr="007608F7" w:rsidRDefault="001B2FEC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налога в бюджет города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составляет </w:t>
      </w:r>
      <w:r w:rsidR="00BC13CF" w:rsidRPr="007608F7">
        <w:rPr>
          <w:sz w:val="28"/>
          <w:szCs w:val="28"/>
        </w:rPr>
        <w:t>167 078 715,91</w:t>
      </w:r>
      <w:r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 xml:space="preserve">, что на </w:t>
      </w:r>
      <w:r w:rsidR="00BC13CF" w:rsidRPr="007608F7">
        <w:rPr>
          <w:sz w:val="28"/>
          <w:szCs w:val="28"/>
        </w:rPr>
        <w:t>16,64</w:t>
      </w:r>
      <w:r w:rsidRPr="007608F7">
        <w:rPr>
          <w:sz w:val="28"/>
          <w:szCs w:val="28"/>
        </w:rPr>
        <w:t xml:space="preserve">% </w:t>
      </w:r>
      <w:r w:rsidR="002A7AC7" w:rsidRPr="007608F7">
        <w:rPr>
          <w:sz w:val="28"/>
          <w:szCs w:val="28"/>
        </w:rPr>
        <w:t>выше</w:t>
      </w:r>
      <w:r w:rsidRPr="007608F7">
        <w:rPr>
          <w:sz w:val="28"/>
          <w:szCs w:val="28"/>
        </w:rPr>
        <w:t xml:space="preserve"> ожидаемого поступления </w:t>
      </w:r>
      <w:r w:rsidR="0091784C" w:rsidRPr="007608F7">
        <w:rPr>
          <w:sz w:val="28"/>
          <w:szCs w:val="28"/>
        </w:rPr>
        <w:t>202</w:t>
      </w:r>
      <w:r w:rsidR="00BC13CF" w:rsidRPr="007608F7">
        <w:rPr>
          <w:sz w:val="28"/>
          <w:szCs w:val="28"/>
        </w:rPr>
        <w:t>3</w:t>
      </w:r>
      <w:r w:rsidRPr="007608F7">
        <w:rPr>
          <w:sz w:val="28"/>
          <w:szCs w:val="28"/>
        </w:rPr>
        <w:t xml:space="preserve"> года, </w:t>
      </w:r>
      <w:r w:rsidR="00BC13CF" w:rsidRPr="007608F7">
        <w:rPr>
          <w:sz w:val="28"/>
          <w:szCs w:val="28"/>
        </w:rPr>
        <w:t>2025 год – 173 761 864,59 рублей, что на 4% выше прогнозируемого поступления 2024 года, в 2026 году – 180 712 339,20 рублей, что на 4% выше прогнозируемого поступления 2025 года.</w:t>
      </w:r>
    </w:p>
    <w:p w14:paraId="114C5C86" w14:textId="6376BDBA" w:rsidR="00F66646" w:rsidRPr="007608F7" w:rsidRDefault="00F66646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Норматив отчислений налога, взимаемого в связи с применением упрощенной системы налогообложения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в соответствии с бюджетным законодательством, составляет </w:t>
      </w:r>
      <w:r w:rsidR="00900614" w:rsidRPr="007608F7">
        <w:rPr>
          <w:sz w:val="28"/>
          <w:szCs w:val="28"/>
        </w:rPr>
        <w:t>50</w:t>
      </w:r>
      <w:r w:rsidRPr="007608F7">
        <w:rPr>
          <w:sz w:val="28"/>
          <w:szCs w:val="28"/>
        </w:rPr>
        <w:t xml:space="preserve">% в бюджет города от объема доходов по данному виду налога, мобилизованного с территории города. </w:t>
      </w:r>
    </w:p>
    <w:p w14:paraId="7875D39F" w14:textId="5B888ADA" w:rsidR="00745A50" w:rsidRPr="007608F7" w:rsidRDefault="0084057C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Рост</w:t>
      </w:r>
      <w:r w:rsidR="008343B9" w:rsidRPr="007608F7">
        <w:rPr>
          <w:sz w:val="28"/>
          <w:szCs w:val="28"/>
        </w:rPr>
        <w:t xml:space="preserve"> поступления налога</w:t>
      </w:r>
      <w:r w:rsidR="002A3D82" w:rsidRPr="007608F7">
        <w:rPr>
          <w:sz w:val="28"/>
          <w:szCs w:val="28"/>
        </w:rPr>
        <w:t xml:space="preserve"> обусловлен </w:t>
      </w:r>
      <w:r w:rsidRPr="007608F7">
        <w:rPr>
          <w:sz w:val="28"/>
          <w:szCs w:val="28"/>
        </w:rPr>
        <w:t>увеличением</w:t>
      </w:r>
      <w:r w:rsidR="008343B9" w:rsidRPr="007608F7">
        <w:rPr>
          <w:sz w:val="28"/>
          <w:szCs w:val="28"/>
        </w:rPr>
        <w:t xml:space="preserve"> </w:t>
      </w:r>
      <w:r w:rsidR="00900614" w:rsidRPr="007608F7">
        <w:rPr>
          <w:sz w:val="28"/>
          <w:szCs w:val="28"/>
        </w:rPr>
        <w:t>единого</w:t>
      </w:r>
      <w:r w:rsidR="002A3D82" w:rsidRPr="007608F7">
        <w:rPr>
          <w:sz w:val="28"/>
          <w:szCs w:val="28"/>
        </w:rPr>
        <w:t xml:space="preserve"> </w:t>
      </w:r>
      <w:r w:rsidR="008343B9" w:rsidRPr="007608F7">
        <w:rPr>
          <w:sz w:val="28"/>
          <w:szCs w:val="28"/>
        </w:rPr>
        <w:t>норматива</w:t>
      </w:r>
      <w:r w:rsidR="002A3D82" w:rsidRPr="007608F7">
        <w:rPr>
          <w:sz w:val="28"/>
          <w:szCs w:val="28"/>
        </w:rPr>
        <w:t xml:space="preserve"> зачисления данного налога </w:t>
      </w:r>
      <w:r w:rsidR="008343B9" w:rsidRPr="007608F7">
        <w:rPr>
          <w:sz w:val="28"/>
          <w:szCs w:val="28"/>
        </w:rPr>
        <w:t xml:space="preserve">в бюджет города с </w:t>
      </w:r>
      <w:r w:rsidR="00900614" w:rsidRPr="007608F7">
        <w:rPr>
          <w:sz w:val="28"/>
          <w:szCs w:val="28"/>
        </w:rPr>
        <w:t>30%</w:t>
      </w:r>
      <w:r w:rsidR="008343B9" w:rsidRPr="007608F7">
        <w:rPr>
          <w:sz w:val="28"/>
          <w:szCs w:val="28"/>
        </w:rPr>
        <w:t xml:space="preserve"> до </w:t>
      </w:r>
      <w:r w:rsidR="00900614" w:rsidRPr="007608F7">
        <w:rPr>
          <w:sz w:val="28"/>
          <w:szCs w:val="28"/>
        </w:rPr>
        <w:t>50%</w:t>
      </w:r>
      <w:r w:rsidR="008343B9" w:rsidRPr="007608F7">
        <w:rPr>
          <w:sz w:val="28"/>
          <w:szCs w:val="28"/>
        </w:rPr>
        <w:t xml:space="preserve">, </w:t>
      </w:r>
      <w:r w:rsidR="00900614" w:rsidRPr="007608F7">
        <w:rPr>
          <w:sz w:val="28"/>
          <w:szCs w:val="28"/>
        </w:rPr>
        <w:t xml:space="preserve">и установлением дифференцированного норматива в размере </w:t>
      </w:r>
      <w:r w:rsidR="00BC13CF" w:rsidRPr="007608F7">
        <w:rPr>
          <w:sz w:val="28"/>
          <w:szCs w:val="28"/>
        </w:rPr>
        <w:t>0,958%</w:t>
      </w:r>
      <w:r w:rsidR="00745A50" w:rsidRPr="007608F7">
        <w:rPr>
          <w:sz w:val="28"/>
          <w:szCs w:val="28"/>
        </w:rPr>
        <w:t>.</w:t>
      </w:r>
    </w:p>
    <w:p w14:paraId="5D403605" w14:textId="3F4AD774" w:rsidR="00745A50" w:rsidRPr="007608F7" w:rsidRDefault="008343B9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Дифференцированный норматив по УСН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 установлен только </w:t>
      </w:r>
      <w:r w:rsidR="00745A50" w:rsidRPr="007608F7">
        <w:rPr>
          <w:sz w:val="28"/>
          <w:szCs w:val="28"/>
        </w:rPr>
        <w:t>для тех муниципальных образований, в которых темп роста мобилизации налога за 202</w:t>
      </w:r>
      <w:r w:rsidR="00900614" w:rsidRPr="007608F7">
        <w:rPr>
          <w:sz w:val="28"/>
          <w:szCs w:val="28"/>
        </w:rPr>
        <w:t>2</w:t>
      </w:r>
      <w:r w:rsidR="00745A50" w:rsidRPr="007608F7">
        <w:rPr>
          <w:sz w:val="28"/>
          <w:szCs w:val="28"/>
        </w:rPr>
        <w:t xml:space="preserve"> год превысил сводный индекс потребительских цен за отчетный финансовый год в соответствии с прогнозом социально-экономического развития Иркутской области на очередной финансовый год и плановый период.</w:t>
      </w:r>
    </w:p>
    <w:p w14:paraId="2EC16EA9" w14:textId="77777777" w:rsidR="005701AC" w:rsidRPr="007608F7" w:rsidRDefault="005701AC" w:rsidP="00EB4484">
      <w:pPr>
        <w:widowControl w:val="0"/>
        <w:ind w:firstLine="709"/>
        <w:jc w:val="both"/>
        <w:rPr>
          <w:sz w:val="22"/>
          <w:szCs w:val="22"/>
        </w:rPr>
      </w:pPr>
    </w:p>
    <w:p w14:paraId="4C0F154A" w14:textId="77777777" w:rsidR="00B6442A" w:rsidRPr="007608F7" w:rsidRDefault="00B6442A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Единый сельскохозяйственный налог</w:t>
      </w:r>
    </w:p>
    <w:p w14:paraId="79B092B1" w14:textId="17AF68A7" w:rsidR="00B6442A" w:rsidRPr="007608F7" w:rsidRDefault="00B6442A" w:rsidP="00EB4484">
      <w:pPr>
        <w:keepNext/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Прогноз поступления единого сель</w:t>
      </w:r>
      <w:r w:rsidR="00DA383D" w:rsidRPr="007608F7">
        <w:rPr>
          <w:sz w:val="28"/>
          <w:szCs w:val="28"/>
        </w:rPr>
        <w:t xml:space="preserve">скохозяйственного налога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 осуществлен на основании данных главного администратора – </w:t>
      </w:r>
      <w:r w:rsidR="0084057C" w:rsidRPr="007608F7">
        <w:rPr>
          <w:sz w:val="28"/>
          <w:szCs w:val="28"/>
        </w:rPr>
        <w:t>Межрайонной ИФНС России № 21 по Иркутской области</w:t>
      </w:r>
      <w:r w:rsidRPr="007608F7">
        <w:rPr>
          <w:sz w:val="28"/>
          <w:szCs w:val="28"/>
        </w:rPr>
        <w:t>.</w:t>
      </w:r>
    </w:p>
    <w:p w14:paraId="05F89634" w14:textId="792D1D7C" w:rsidR="00B6442A" w:rsidRPr="007608F7" w:rsidRDefault="00B6442A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 запланирован в размере </w:t>
      </w:r>
      <w:r w:rsidR="0016703C" w:rsidRPr="007608F7">
        <w:rPr>
          <w:sz w:val="28"/>
          <w:szCs w:val="28"/>
        </w:rPr>
        <w:t>249 354,00 </w:t>
      </w:r>
      <w:r w:rsidR="005A06EA" w:rsidRPr="007608F7">
        <w:rPr>
          <w:sz w:val="28"/>
          <w:szCs w:val="28"/>
        </w:rPr>
        <w:t>рублей</w:t>
      </w:r>
      <w:r w:rsidR="00717854" w:rsidRPr="007608F7">
        <w:rPr>
          <w:sz w:val="28"/>
          <w:szCs w:val="28"/>
        </w:rPr>
        <w:t>, на</w:t>
      </w:r>
      <w:r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 -</w:t>
      </w:r>
      <w:r w:rsidR="00DE0A2B" w:rsidRPr="007608F7">
        <w:rPr>
          <w:sz w:val="28"/>
          <w:szCs w:val="28"/>
        </w:rPr>
        <w:t>2026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годы </w:t>
      </w:r>
      <w:r w:rsidR="0016703C" w:rsidRPr="007608F7">
        <w:rPr>
          <w:sz w:val="28"/>
          <w:szCs w:val="28"/>
        </w:rPr>
        <w:t>по 249 354,00</w:t>
      </w:r>
      <w:r w:rsidR="00B97FF1" w:rsidRPr="007608F7">
        <w:rPr>
          <w:sz w:val="28"/>
          <w:szCs w:val="28"/>
        </w:rPr>
        <w:t xml:space="preserve"> рубл</w:t>
      </w:r>
      <w:r w:rsidR="0016703C" w:rsidRPr="007608F7">
        <w:rPr>
          <w:sz w:val="28"/>
          <w:szCs w:val="28"/>
        </w:rPr>
        <w:t>ей</w:t>
      </w:r>
      <w:r w:rsidR="00B97FF1" w:rsidRPr="007608F7">
        <w:rPr>
          <w:sz w:val="28"/>
          <w:szCs w:val="28"/>
        </w:rPr>
        <w:t xml:space="preserve"> соответственно.</w:t>
      </w:r>
    </w:p>
    <w:p w14:paraId="2CA6ECC8" w14:textId="77777777" w:rsidR="00272DD5" w:rsidRPr="007608F7" w:rsidRDefault="00272DD5" w:rsidP="00EB4484">
      <w:pPr>
        <w:widowControl w:val="0"/>
        <w:ind w:firstLine="709"/>
        <w:jc w:val="both"/>
        <w:rPr>
          <w:sz w:val="22"/>
          <w:szCs w:val="22"/>
        </w:rPr>
      </w:pPr>
    </w:p>
    <w:p w14:paraId="1AD68EB9" w14:textId="77777777" w:rsidR="00CD4FFE" w:rsidRPr="007608F7" w:rsidRDefault="00CD4FFE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Налог, взимаемый в связи с применением патентной системы налогообложения</w:t>
      </w:r>
    </w:p>
    <w:p w14:paraId="342E0F6C" w14:textId="68B675A8" w:rsidR="00E74AD9" w:rsidRPr="007608F7" w:rsidRDefault="00E74AD9" w:rsidP="00EB4484">
      <w:pPr>
        <w:keepNext/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поступления налога, взимаемого в связи с применением </w:t>
      </w:r>
      <w:r w:rsidR="007E19CD" w:rsidRPr="007608F7">
        <w:rPr>
          <w:sz w:val="28"/>
          <w:szCs w:val="28"/>
        </w:rPr>
        <w:t xml:space="preserve">патентной </w:t>
      </w:r>
      <w:r w:rsidRPr="007608F7">
        <w:rPr>
          <w:sz w:val="28"/>
          <w:szCs w:val="28"/>
        </w:rPr>
        <w:t>системы налогообложения</w:t>
      </w:r>
      <w:r w:rsidR="00DC5885" w:rsidRPr="007608F7">
        <w:rPr>
          <w:sz w:val="28"/>
          <w:szCs w:val="28"/>
        </w:rPr>
        <w:t>,</w:t>
      </w:r>
      <w:r w:rsidRPr="007608F7">
        <w:rPr>
          <w:sz w:val="28"/>
          <w:szCs w:val="28"/>
        </w:rPr>
        <w:t xml:space="preserve"> 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</w:t>
      </w:r>
      <w:r w:rsidR="007E19CD" w:rsidRPr="007608F7">
        <w:rPr>
          <w:sz w:val="28"/>
          <w:szCs w:val="28"/>
        </w:rPr>
        <w:t xml:space="preserve"> </w:t>
      </w:r>
      <w:r w:rsidRPr="007608F7">
        <w:rPr>
          <w:sz w:val="28"/>
          <w:szCs w:val="28"/>
        </w:rPr>
        <w:t xml:space="preserve">осуществлен на основании </w:t>
      </w:r>
      <w:r w:rsidR="00FC27C6" w:rsidRPr="007608F7">
        <w:rPr>
          <w:sz w:val="28"/>
          <w:szCs w:val="28"/>
        </w:rPr>
        <w:t xml:space="preserve">данных о </w:t>
      </w:r>
      <w:r w:rsidR="002E61CE" w:rsidRPr="007608F7">
        <w:rPr>
          <w:sz w:val="28"/>
          <w:szCs w:val="28"/>
        </w:rPr>
        <w:t>динамике фактических поступлений по налогу, уровня собираемости, налоговых ставок</w:t>
      </w:r>
      <w:r w:rsidR="00302978" w:rsidRPr="007608F7">
        <w:rPr>
          <w:sz w:val="28"/>
          <w:szCs w:val="28"/>
        </w:rPr>
        <w:t xml:space="preserve"> и соответствует прогнозу г</w:t>
      </w:r>
      <w:r w:rsidRPr="007608F7">
        <w:rPr>
          <w:sz w:val="28"/>
          <w:szCs w:val="28"/>
        </w:rPr>
        <w:t xml:space="preserve">лавного администратора – </w:t>
      </w:r>
      <w:r w:rsidR="0084057C" w:rsidRPr="007608F7">
        <w:rPr>
          <w:sz w:val="28"/>
          <w:szCs w:val="28"/>
        </w:rPr>
        <w:t>Межрайонной ИФНС России № 21 по Иркутской области</w:t>
      </w:r>
      <w:r w:rsidR="009D0FE5" w:rsidRPr="007608F7">
        <w:rPr>
          <w:sz w:val="28"/>
          <w:szCs w:val="28"/>
        </w:rPr>
        <w:t>.</w:t>
      </w:r>
    </w:p>
    <w:p w14:paraId="124A25C3" w14:textId="13DACEFF" w:rsidR="000B0AE5" w:rsidRPr="007608F7" w:rsidRDefault="00E67D1D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налога в бюджет города 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составляет </w:t>
      </w:r>
      <w:r w:rsidR="0016703C" w:rsidRPr="007608F7">
        <w:rPr>
          <w:sz w:val="28"/>
          <w:szCs w:val="28"/>
        </w:rPr>
        <w:t>8 990 744,10 </w:t>
      </w:r>
      <w:r w:rsidR="005A06EA" w:rsidRPr="007608F7">
        <w:rPr>
          <w:sz w:val="28"/>
          <w:szCs w:val="28"/>
        </w:rPr>
        <w:t>рублей</w:t>
      </w:r>
      <w:r w:rsidRPr="007608F7">
        <w:rPr>
          <w:sz w:val="28"/>
          <w:szCs w:val="28"/>
        </w:rPr>
        <w:t xml:space="preserve">, что на </w:t>
      </w:r>
      <w:r w:rsidR="000B0AE5" w:rsidRPr="007608F7">
        <w:rPr>
          <w:sz w:val="28"/>
          <w:szCs w:val="28"/>
        </w:rPr>
        <w:t>4</w:t>
      </w:r>
      <w:r w:rsidRPr="007608F7">
        <w:rPr>
          <w:sz w:val="28"/>
          <w:szCs w:val="28"/>
        </w:rPr>
        <w:t xml:space="preserve">% </w:t>
      </w:r>
      <w:r w:rsidR="002B50C8" w:rsidRPr="007608F7">
        <w:rPr>
          <w:sz w:val="28"/>
          <w:szCs w:val="28"/>
        </w:rPr>
        <w:t xml:space="preserve">выше </w:t>
      </w:r>
      <w:r w:rsidR="00302978" w:rsidRPr="007608F7">
        <w:rPr>
          <w:sz w:val="28"/>
          <w:szCs w:val="28"/>
        </w:rPr>
        <w:t xml:space="preserve">ожидаемого поступления </w:t>
      </w:r>
      <w:r w:rsidR="0091784C" w:rsidRPr="007608F7">
        <w:rPr>
          <w:sz w:val="28"/>
          <w:szCs w:val="28"/>
        </w:rPr>
        <w:t>202</w:t>
      </w:r>
      <w:r w:rsidR="000B0AE5" w:rsidRPr="007608F7">
        <w:rPr>
          <w:sz w:val="28"/>
          <w:szCs w:val="28"/>
        </w:rPr>
        <w:t>3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года, </w:t>
      </w:r>
      <w:r w:rsidR="000B0AE5" w:rsidRPr="007608F7">
        <w:rPr>
          <w:sz w:val="28"/>
          <w:szCs w:val="28"/>
        </w:rPr>
        <w:t>на 2025 год – 9 350 373,90 рубля, что на 4% выше прогнозируемого поступления 2024 года, в 2026 году – 9 724 388,90 рубля, что на 4% выше прогнозируемого поступления 2025 года.</w:t>
      </w:r>
    </w:p>
    <w:p w14:paraId="685C4D27" w14:textId="77777777" w:rsidR="000B0AE5" w:rsidRPr="007608F7" w:rsidRDefault="000B0AE5" w:rsidP="00EB4484">
      <w:pPr>
        <w:widowControl w:val="0"/>
        <w:ind w:firstLine="709"/>
        <w:jc w:val="both"/>
        <w:rPr>
          <w:sz w:val="22"/>
          <w:szCs w:val="22"/>
        </w:rPr>
      </w:pPr>
    </w:p>
    <w:p w14:paraId="6816437C" w14:textId="77777777" w:rsidR="00FA1F1A" w:rsidRPr="007608F7" w:rsidRDefault="00FA1F1A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 xml:space="preserve">Налог на имущество </w:t>
      </w:r>
      <w:r w:rsidR="000732DA" w:rsidRPr="007608F7">
        <w:rPr>
          <w:szCs w:val="28"/>
        </w:rPr>
        <w:t>физических лиц</w:t>
      </w:r>
    </w:p>
    <w:p w14:paraId="3927ED73" w14:textId="26EB5086" w:rsidR="006352F1" w:rsidRPr="007608F7" w:rsidRDefault="006352F1" w:rsidP="00EB4484">
      <w:pPr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поступления налога на имущество физических лиц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осуществлен на основании данных </w:t>
      </w:r>
      <w:r w:rsidR="002E61CE" w:rsidRPr="007608F7">
        <w:rPr>
          <w:sz w:val="28"/>
          <w:szCs w:val="28"/>
        </w:rPr>
        <w:t>о динамике налоговой базы, начислений и фактических поступлений по налогу,</w:t>
      </w:r>
      <w:r w:rsidRPr="007608F7">
        <w:rPr>
          <w:sz w:val="28"/>
          <w:szCs w:val="28"/>
        </w:rPr>
        <w:t xml:space="preserve"> и соответствует информации главного администратора – </w:t>
      </w:r>
      <w:r w:rsidR="0084057C" w:rsidRPr="007608F7">
        <w:rPr>
          <w:sz w:val="28"/>
          <w:szCs w:val="28"/>
        </w:rPr>
        <w:t>Межрайонной ИФНС России № 21 по Иркутской области</w:t>
      </w:r>
      <w:r w:rsidRPr="007608F7">
        <w:rPr>
          <w:sz w:val="28"/>
          <w:szCs w:val="28"/>
        </w:rPr>
        <w:t>.</w:t>
      </w:r>
    </w:p>
    <w:p w14:paraId="446BAE74" w14:textId="7AC421C6" w:rsidR="002E61CE" w:rsidRPr="007608F7" w:rsidRDefault="006352F1" w:rsidP="00EB4484">
      <w:pPr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запланирован в размере </w:t>
      </w:r>
      <w:r w:rsidR="000B0AE5" w:rsidRPr="007608F7">
        <w:rPr>
          <w:sz w:val="28"/>
          <w:szCs w:val="28"/>
        </w:rPr>
        <w:t>25 071 182,30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 xml:space="preserve">, что на </w:t>
      </w:r>
      <w:r w:rsidR="000B0AE5" w:rsidRPr="007608F7">
        <w:rPr>
          <w:sz w:val="28"/>
          <w:szCs w:val="28"/>
        </w:rPr>
        <w:t xml:space="preserve">25,93% </w:t>
      </w:r>
      <w:r w:rsidRPr="007608F7">
        <w:rPr>
          <w:sz w:val="28"/>
          <w:szCs w:val="28"/>
        </w:rPr>
        <w:t xml:space="preserve">выше ожидаемого поступления </w:t>
      </w:r>
      <w:r w:rsidR="0091784C" w:rsidRPr="007608F7">
        <w:rPr>
          <w:sz w:val="28"/>
          <w:szCs w:val="28"/>
        </w:rPr>
        <w:t>202</w:t>
      </w:r>
      <w:r w:rsidR="000B0AE5" w:rsidRPr="007608F7">
        <w:rPr>
          <w:sz w:val="28"/>
          <w:szCs w:val="28"/>
        </w:rPr>
        <w:t>3</w:t>
      </w:r>
      <w:r w:rsidRPr="007608F7">
        <w:rPr>
          <w:sz w:val="28"/>
          <w:szCs w:val="28"/>
        </w:rPr>
        <w:t xml:space="preserve"> года, </w:t>
      </w:r>
      <w:r w:rsidR="00204F5D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="00204F5D" w:rsidRPr="007608F7">
        <w:rPr>
          <w:sz w:val="28"/>
          <w:szCs w:val="28"/>
        </w:rPr>
        <w:t xml:space="preserve"> -</w:t>
      </w:r>
      <w:r w:rsidR="00DE0A2B" w:rsidRPr="007608F7">
        <w:rPr>
          <w:sz w:val="28"/>
          <w:szCs w:val="28"/>
        </w:rPr>
        <w:t>2026</w:t>
      </w:r>
      <w:r w:rsidR="00204F5D" w:rsidRPr="007608F7">
        <w:rPr>
          <w:sz w:val="28"/>
          <w:szCs w:val="28"/>
        </w:rPr>
        <w:t xml:space="preserve"> годы по </w:t>
      </w:r>
      <w:r w:rsidR="000B0AE5" w:rsidRPr="007608F7">
        <w:rPr>
          <w:sz w:val="28"/>
          <w:szCs w:val="28"/>
        </w:rPr>
        <w:t>25 071 182,30</w:t>
      </w:r>
      <w:r w:rsidR="00204F5D" w:rsidRPr="007608F7">
        <w:rPr>
          <w:sz w:val="28"/>
          <w:szCs w:val="28"/>
        </w:rPr>
        <w:t xml:space="preserve"> рублей соответственно.</w:t>
      </w:r>
      <w:r w:rsidR="00FD2369" w:rsidRPr="007608F7">
        <w:rPr>
          <w:sz w:val="28"/>
          <w:szCs w:val="28"/>
        </w:rPr>
        <w:t xml:space="preserve"> </w:t>
      </w:r>
      <w:r w:rsidR="00D87567" w:rsidRPr="007608F7">
        <w:rPr>
          <w:sz w:val="28"/>
          <w:szCs w:val="28"/>
        </w:rPr>
        <w:t xml:space="preserve">Рост поступлений данного налога на </w:t>
      </w:r>
      <w:r w:rsidR="00DE0A2B" w:rsidRPr="007608F7">
        <w:rPr>
          <w:sz w:val="28"/>
          <w:szCs w:val="28"/>
        </w:rPr>
        <w:t>2024</w:t>
      </w:r>
      <w:r w:rsidR="00D87567" w:rsidRPr="007608F7">
        <w:rPr>
          <w:sz w:val="28"/>
          <w:szCs w:val="28"/>
        </w:rPr>
        <w:t xml:space="preserve"> год обусловлен </w:t>
      </w:r>
      <w:r w:rsidR="002E61CE" w:rsidRPr="007608F7">
        <w:rPr>
          <w:sz w:val="28"/>
          <w:szCs w:val="28"/>
        </w:rPr>
        <w:t xml:space="preserve">ростом </w:t>
      </w:r>
      <w:r w:rsidR="00CF0BD7" w:rsidRPr="007608F7">
        <w:rPr>
          <w:sz w:val="28"/>
          <w:szCs w:val="28"/>
        </w:rPr>
        <w:t xml:space="preserve">ставок на коммерческую недвижимость, а также </w:t>
      </w:r>
      <w:r w:rsidR="005D5E70" w:rsidRPr="007608F7">
        <w:rPr>
          <w:sz w:val="28"/>
          <w:szCs w:val="28"/>
        </w:rPr>
        <w:t xml:space="preserve">истечением срока применения </w:t>
      </w:r>
      <w:r w:rsidR="002E61CE" w:rsidRPr="007608F7">
        <w:rPr>
          <w:sz w:val="28"/>
          <w:szCs w:val="28"/>
        </w:rPr>
        <w:t xml:space="preserve">коэффициента переходного периода, зависящего от года </w:t>
      </w:r>
      <w:r w:rsidR="005D5E70" w:rsidRPr="007608F7">
        <w:rPr>
          <w:sz w:val="28"/>
          <w:szCs w:val="28"/>
        </w:rPr>
        <w:t xml:space="preserve">установления </w:t>
      </w:r>
      <w:r w:rsidR="002E61CE" w:rsidRPr="007608F7">
        <w:rPr>
          <w:sz w:val="28"/>
          <w:szCs w:val="28"/>
        </w:rPr>
        <w:t>кадастровой стоимости в качестве налоговой базы по налогу на имущество физических лиц.</w:t>
      </w:r>
    </w:p>
    <w:p w14:paraId="120BDC19" w14:textId="77777777" w:rsidR="001E2818" w:rsidRPr="007608F7" w:rsidRDefault="001E2818" w:rsidP="00EB4484">
      <w:pPr>
        <w:widowControl w:val="0"/>
        <w:ind w:firstLine="709"/>
        <w:jc w:val="both"/>
        <w:rPr>
          <w:sz w:val="22"/>
          <w:szCs w:val="22"/>
        </w:rPr>
      </w:pPr>
    </w:p>
    <w:p w14:paraId="6C0764D9" w14:textId="77777777" w:rsidR="00352E07" w:rsidRPr="007608F7" w:rsidRDefault="00352E07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Земельный налог</w:t>
      </w:r>
    </w:p>
    <w:p w14:paraId="72B4DAC1" w14:textId="48B36B78" w:rsidR="00352E07" w:rsidRPr="007608F7" w:rsidRDefault="00352E07" w:rsidP="00EB4484">
      <w:pPr>
        <w:keepNext/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Прогноз поступлений земельно</w:t>
      </w:r>
      <w:r w:rsidR="000876C2" w:rsidRPr="007608F7">
        <w:rPr>
          <w:sz w:val="28"/>
          <w:szCs w:val="28"/>
        </w:rPr>
        <w:t>го</w:t>
      </w:r>
      <w:r w:rsidRPr="007608F7">
        <w:rPr>
          <w:sz w:val="28"/>
          <w:szCs w:val="28"/>
        </w:rPr>
        <w:t xml:space="preserve"> налог</w:t>
      </w:r>
      <w:r w:rsidR="000876C2" w:rsidRPr="007608F7">
        <w:rPr>
          <w:sz w:val="28"/>
          <w:szCs w:val="28"/>
        </w:rPr>
        <w:t>а</w:t>
      </w:r>
      <w:r w:rsidRPr="007608F7">
        <w:rPr>
          <w:sz w:val="28"/>
          <w:szCs w:val="28"/>
        </w:rPr>
        <w:t xml:space="preserve"> </w:t>
      </w:r>
      <w:r w:rsidR="00A658BB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A658BB" w:rsidRPr="007608F7">
        <w:rPr>
          <w:sz w:val="28"/>
          <w:szCs w:val="28"/>
        </w:rPr>
        <w:t xml:space="preserve"> год </w:t>
      </w:r>
      <w:r w:rsidR="00427486" w:rsidRPr="007608F7">
        <w:rPr>
          <w:sz w:val="28"/>
          <w:szCs w:val="28"/>
        </w:rPr>
        <w:t xml:space="preserve">осуществлен с учетом </w:t>
      </w:r>
      <w:r w:rsidR="002E61CE" w:rsidRPr="007608F7">
        <w:rPr>
          <w:sz w:val="28"/>
          <w:szCs w:val="28"/>
        </w:rPr>
        <w:t>динамики налоговой базы, начислений и фактических поступлений по налогу, информации о налоговых ставках и льготах</w:t>
      </w:r>
      <w:r w:rsidR="00BD104B" w:rsidRPr="007608F7">
        <w:rPr>
          <w:sz w:val="28"/>
          <w:szCs w:val="28"/>
        </w:rPr>
        <w:t xml:space="preserve"> </w:t>
      </w:r>
      <w:r w:rsidR="00427486" w:rsidRPr="007608F7">
        <w:rPr>
          <w:sz w:val="28"/>
          <w:szCs w:val="28"/>
        </w:rPr>
        <w:t xml:space="preserve">и соответствует прогнозу </w:t>
      </w:r>
      <w:r w:rsidR="00A658BB" w:rsidRPr="007608F7">
        <w:rPr>
          <w:sz w:val="28"/>
          <w:szCs w:val="28"/>
        </w:rPr>
        <w:t>главного администрат</w:t>
      </w:r>
      <w:r w:rsidR="00296091" w:rsidRPr="007608F7">
        <w:rPr>
          <w:sz w:val="28"/>
          <w:szCs w:val="28"/>
        </w:rPr>
        <w:t xml:space="preserve">ора – </w:t>
      </w:r>
      <w:r w:rsidR="0084057C" w:rsidRPr="007608F7">
        <w:rPr>
          <w:sz w:val="28"/>
          <w:szCs w:val="28"/>
        </w:rPr>
        <w:t>Межрайонной ИФНС России №</w:t>
      </w:r>
      <w:r w:rsidR="00B609BB" w:rsidRPr="007608F7">
        <w:rPr>
          <w:sz w:val="28"/>
          <w:szCs w:val="28"/>
        </w:rPr>
        <w:t> </w:t>
      </w:r>
      <w:r w:rsidR="0084057C" w:rsidRPr="007608F7">
        <w:rPr>
          <w:sz w:val="28"/>
          <w:szCs w:val="28"/>
        </w:rPr>
        <w:t>21 по Иркутской области</w:t>
      </w:r>
      <w:r w:rsidR="00717854" w:rsidRPr="007608F7">
        <w:rPr>
          <w:sz w:val="28"/>
          <w:szCs w:val="28"/>
        </w:rPr>
        <w:t>.</w:t>
      </w:r>
    </w:p>
    <w:p w14:paraId="15979686" w14:textId="1A235BD0" w:rsidR="0023698F" w:rsidRPr="007608F7" w:rsidRDefault="00F52334" w:rsidP="00EB4484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 w:themeFill="background1"/>
        </w:rPr>
      </w:pPr>
      <w:r w:rsidRPr="007608F7">
        <w:rPr>
          <w:sz w:val="28"/>
          <w:szCs w:val="28"/>
          <w:shd w:val="clear" w:color="auto" w:fill="FFFFFF" w:themeFill="background1"/>
        </w:rPr>
        <w:t xml:space="preserve">Объем поступлений на </w:t>
      </w:r>
      <w:r w:rsidR="00DE0A2B" w:rsidRPr="007608F7">
        <w:rPr>
          <w:sz w:val="28"/>
          <w:szCs w:val="28"/>
          <w:shd w:val="clear" w:color="auto" w:fill="FFFFFF" w:themeFill="background1"/>
        </w:rPr>
        <w:t>2024</w:t>
      </w:r>
      <w:r w:rsidRPr="007608F7">
        <w:rPr>
          <w:sz w:val="28"/>
          <w:szCs w:val="28"/>
          <w:shd w:val="clear" w:color="auto" w:fill="FFFFFF" w:themeFill="background1"/>
        </w:rPr>
        <w:t xml:space="preserve"> год запланирован в размере </w:t>
      </w:r>
      <w:r w:rsidR="000B0AE5" w:rsidRPr="007608F7">
        <w:rPr>
          <w:sz w:val="28"/>
          <w:szCs w:val="28"/>
          <w:shd w:val="clear" w:color="auto" w:fill="FFFFFF" w:themeFill="background1"/>
        </w:rPr>
        <w:t>48 259 200,00</w:t>
      </w:r>
      <w:r w:rsidR="005A06EA" w:rsidRPr="007608F7">
        <w:rPr>
          <w:sz w:val="28"/>
          <w:szCs w:val="28"/>
          <w:shd w:val="clear" w:color="auto" w:fill="FFFFFF" w:themeFill="background1"/>
        </w:rPr>
        <w:t xml:space="preserve"> рублей</w:t>
      </w:r>
      <w:r w:rsidRPr="007608F7">
        <w:rPr>
          <w:sz w:val="28"/>
          <w:szCs w:val="28"/>
          <w:shd w:val="clear" w:color="auto" w:fill="FFFFFF" w:themeFill="background1"/>
        </w:rPr>
        <w:t xml:space="preserve">, </w:t>
      </w:r>
      <w:r w:rsidR="000B0AE5" w:rsidRPr="007608F7">
        <w:rPr>
          <w:sz w:val="28"/>
          <w:szCs w:val="28"/>
          <w:shd w:val="clear" w:color="auto" w:fill="FFFFFF" w:themeFill="background1"/>
        </w:rPr>
        <w:t>что на 42,07% выше ожидаемого поступления 2023 года, на 2025 -</w:t>
      </w:r>
      <w:r w:rsidR="002B32CA" w:rsidRPr="007608F7">
        <w:rPr>
          <w:sz w:val="28"/>
          <w:szCs w:val="28"/>
          <w:shd w:val="clear" w:color="auto" w:fill="FFFFFF" w:themeFill="background1"/>
        </w:rPr>
        <w:t xml:space="preserve"> </w:t>
      </w:r>
      <w:r w:rsidR="000B0AE5" w:rsidRPr="007608F7">
        <w:rPr>
          <w:sz w:val="28"/>
          <w:szCs w:val="28"/>
          <w:shd w:val="clear" w:color="auto" w:fill="FFFFFF" w:themeFill="background1"/>
        </w:rPr>
        <w:t>2026 годы по 48 259 200,00 рублей соответственно.</w:t>
      </w:r>
      <w:r w:rsidR="001B2D2D" w:rsidRPr="007608F7">
        <w:rPr>
          <w:sz w:val="28"/>
          <w:szCs w:val="28"/>
          <w:shd w:val="clear" w:color="auto" w:fill="FFFFFF" w:themeFill="background1"/>
        </w:rPr>
        <w:t xml:space="preserve"> </w:t>
      </w:r>
      <w:r w:rsidR="005D5E70" w:rsidRPr="007608F7">
        <w:rPr>
          <w:sz w:val="28"/>
          <w:szCs w:val="28"/>
          <w:shd w:val="clear" w:color="auto" w:fill="FFFFFF" w:themeFill="background1"/>
        </w:rPr>
        <w:t xml:space="preserve">Увеличение прогноза на 2024 по отношению к оценке 2023 обусловлено </w:t>
      </w:r>
      <w:r w:rsidR="000B0AE5" w:rsidRPr="007608F7">
        <w:rPr>
          <w:sz w:val="28"/>
          <w:szCs w:val="28"/>
        </w:rPr>
        <w:t xml:space="preserve">перерасчетом в 2023 году налога по решению суда в связи с оспариванием кадастровой стоимости налогоплательщиками, а также </w:t>
      </w:r>
      <w:r w:rsidR="00ED326A" w:rsidRPr="007608F7">
        <w:rPr>
          <w:sz w:val="28"/>
          <w:szCs w:val="28"/>
          <w:shd w:val="clear" w:color="auto" w:fill="FFFFFF" w:themeFill="background1"/>
        </w:rPr>
        <w:t>изъятием сумм налога на единые налоговые счета налогоплательщиков в 2023 году.</w:t>
      </w:r>
      <w:r w:rsidR="005D5E70" w:rsidRPr="007608F7">
        <w:rPr>
          <w:sz w:val="28"/>
          <w:szCs w:val="28"/>
          <w:shd w:val="clear" w:color="auto" w:fill="FFFFFF" w:themeFill="background1"/>
        </w:rPr>
        <w:t xml:space="preserve"> </w:t>
      </w:r>
    </w:p>
    <w:p w14:paraId="77316E09" w14:textId="77777777" w:rsidR="000B0AE5" w:rsidRPr="007608F7" w:rsidRDefault="000B0AE5" w:rsidP="00EB4484">
      <w:pPr>
        <w:widowControl w:val="0"/>
        <w:ind w:firstLine="709"/>
        <w:jc w:val="both"/>
        <w:rPr>
          <w:sz w:val="22"/>
          <w:szCs w:val="22"/>
        </w:rPr>
      </w:pPr>
    </w:p>
    <w:p w14:paraId="541A6917" w14:textId="77777777" w:rsidR="008F3DD2" w:rsidRPr="007608F7" w:rsidRDefault="008F3DD2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Государственная пошлина</w:t>
      </w:r>
    </w:p>
    <w:p w14:paraId="143E81FB" w14:textId="015D7DA8" w:rsidR="00DC5885" w:rsidRPr="007608F7" w:rsidRDefault="00595B10" w:rsidP="00EB4484">
      <w:pPr>
        <w:keepNext/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Расчет прогноза поступления государственной пошлины в бюджет города осуществлен на основании информации </w:t>
      </w:r>
      <w:r w:rsidR="007F4431" w:rsidRPr="007608F7">
        <w:rPr>
          <w:sz w:val="28"/>
          <w:szCs w:val="28"/>
        </w:rPr>
        <w:t xml:space="preserve">следующих </w:t>
      </w:r>
      <w:r w:rsidRPr="007608F7">
        <w:rPr>
          <w:sz w:val="28"/>
          <w:szCs w:val="28"/>
        </w:rPr>
        <w:t>главных администраторов доходов</w:t>
      </w:r>
      <w:r w:rsidR="00DC5885" w:rsidRPr="007608F7">
        <w:rPr>
          <w:sz w:val="28"/>
          <w:szCs w:val="28"/>
        </w:rPr>
        <w:t xml:space="preserve">: </w:t>
      </w:r>
    </w:p>
    <w:p w14:paraId="3D0D3FDE" w14:textId="3DEA9FAA" w:rsidR="00DC5885" w:rsidRPr="007608F7" w:rsidRDefault="008F3DD2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М</w:t>
      </w:r>
      <w:r w:rsidR="000B1E64" w:rsidRPr="007608F7">
        <w:rPr>
          <w:sz w:val="28"/>
          <w:szCs w:val="28"/>
        </w:rPr>
        <w:t>ежрайонная И</w:t>
      </w:r>
      <w:r w:rsidRPr="007608F7">
        <w:rPr>
          <w:sz w:val="28"/>
          <w:szCs w:val="28"/>
        </w:rPr>
        <w:t>ФНС России № </w:t>
      </w:r>
      <w:r w:rsidR="00EC5520" w:rsidRPr="007608F7">
        <w:rPr>
          <w:sz w:val="28"/>
          <w:szCs w:val="28"/>
        </w:rPr>
        <w:t>21</w:t>
      </w:r>
      <w:r w:rsidRPr="007608F7">
        <w:rPr>
          <w:sz w:val="28"/>
          <w:szCs w:val="28"/>
        </w:rPr>
        <w:t xml:space="preserve"> по Иркутской области</w:t>
      </w:r>
      <w:r w:rsidR="00DC5885" w:rsidRPr="007608F7">
        <w:rPr>
          <w:sz w:val="28"/>
          <w:szCs w:val="28"/>
        </w:rPr>
        <w:t xml:space="preserve"> </w:t>
      </w:r>
      <w:r w:rsidR="00F534C1" w:rsidRPr="007608F7">
        <w:rPr>
          <w:sz w:val="28"/>
          <w:szCs w:val="28"/>
        </w:rPr>
        <w:t>–</w:t>
      </w:r>
      <w:r w:rsidR="00DC5885" w:rsidRPr="007608F7">
        <w:rPr>
          <w:sz w:val="28"/>
          <w:szCs w:val="28"/>
        </w:rPr>
        <w:t xml:space="preserve"> </w:t>
      </w:r>
      <w:r w:rsidR="002B32CA" w:rsidRPr="007608F7">
        <w:rPr>
          <w:sz w:val="28"/>
          <w:szCs w:val="28"/>
        </w:rPr>
        <w:t>28 466 768,00</w:t>
      </w:r>
      <w:r w:rsidR="00D810E0" w:rsidRPr="007608F7">
        <w:rPr>
          <w:sz w:val="28"/>
          <w:szCs w:val="28"/>
        </w:rPr>
        <w:t> </w:t>
      </w:r>
      <w:r w:rsidR="005A06EA" w:rsidRPr="007608F7">
        <w:rPr>
          <w:sz w:val="28"/>
          <w:szCs w:val="28"/>
        </w:rPr>
        <w:t>рублей</w:t>
      </w:r>
      <w:r w:rsidR="00595701" w:rsidRPr="007608F7">
        <w:rPr>
          <w:sz w:val="28"/>
          <w:szCs w:val="28"/>
        </w:rPr>
        <w:t xml:space="preserve"> </w:t>
      </w:r>
      <w:r w:rsidR="00D26884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="00D26884" w:rsidRPr="007608F7">
        <w:rPr>
          <w:sz w:val="28"/>
          <w:szCs w:val="28"/>
        </w:rPr>
        <w:t xml:space="preserve">год </w:t>
      </w:r>
      <w:r w:rsidR="00470ED7" w:rsidRPr="007608F7">
        <w:rPr>
          <w:sz w:val="28"/>
          <w:szCs w:val="28"/>
        </w:rPr>
        <w:t>(</w:t>
      </w:r>
      <w:r w:rsidR="000950FD" w:rsidRPr="007608F7">
        <w:rPr>
          <w:sz w:val="28"/>
          <w:szCs w:val="28"/>
        </w:rPr>
        <w:t xml:space="preserve">по </w:t>
      </w:r>
      <w:r w:rsidR="002B32CA" w:rsidRPr="007608F7">
        <w:rPr>
          <w:sz w:val="28"/>
          <w:szCs w:val="28"/>
        </w:rPr>
        <w:t xml:space="preserve">29 605 438,70 и 30 789 656,30 рубля на </w:t>
      </w:r>
      <w:r w:rsidR="00DE0A2B" w:rsidRPr="007608F7">
        <w:rPr>
          <w:sz w:val="28"/>
          <w:szCs w:val="28"/>
        </w:rPr>
        <w:t>2025</w:t>
      </w:r>
      <w:r w:rsidR="00BC3BFE" w:rsidRPr="007608F7">
        <w:rPr>
          <w:sz w:val="28"/>
          <w:szCs w:val="28"/>
        </w:rPr>
        <w:t> </w:t>
      </w:r>
      <w:r w:rsidR="002B32CA" w:rsidRPr="007608F7">
        <w:rPr>
          <w:sz w:val="28"/>
          <w:szCs w:val="28"/>
        </w:rPr>
        <w:t>и</w:t>
      </w:r>
      <w:r w:rsidR="00BC3BFE" w:rsidRPr="007608F7">
        <w:rPr>
          <w:sz w:val="28"/>
          <w:szCs w:val="28"/>
        </w:rPr>
        <w:t> </w:t>
      </w:r>
      <w:r w:rsidR="00DE0A2B" w:rsidRPr="007608F7">
        <w:rPr>
          <w:sz w:val="28"/>
          <w:szCs w:val="28"/>
        </w:rPr>
        <w:t>2026</w:t>
      </w:r>
      <w:r w:rsidR="009004F7" w:rsidRPr="007608F7">
        <w:rPr>
          <w:sz w:val="28"/>
          <w:szCs w:val="28"/>
        </w:rPr>
        <w:t> </w:t>
      </w:r>
      <w:r w:rsidR="00470ED7" w:rsidRPr="007608F7">
        <w:rPr>
          <w:sz w:val="28"/>
          <w:szCs w:val="28"/>
        </w:rPr>
        <w:t>год</w:t>
      </w:r>
      <w:r w:rsidR="000950FD" w:rsidRPr="007608F7">
        <w:rPr>
          <w:sz w:val="28"/>
          <w:szCs w:val="28"/>
        </w:rPr>
        <w:t>ы соответственно</w:t>
      </w:r>
      <w:r w:rsidR="00470ED7" w:rsidRPr="007608F7">
        <w:rPr>
          <w:sz w:val="28"/>
          <w:szCs w:val="28"/>
        </w:rPr>
        <w:t xml:space="preserve">) </w:t>
      </w:r>
      <w:r w:rsidR="00595701" w:rsidRPr="007608F7">
        <w:rPr>
          <w:sz w:val="28"/>
          <w:szCs w:val="28"/>
        </w:rPr>
        <w:t>по государственной пошлине по делам, рассматриваемым в судах общей юрисдикции, мировыми судьями (за исключением Верховного Суда Российской Федерации);</w:t>
      </w:r>
    </w:p>
    <w:p w14:paraId="4057FEA4" w14:textId="29AB46D5" w:rsidR="00DC5885" w:rsidRPr="007608F7" w:rsidRDefault="002433FB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К</w:t>
      </w:r>
      <w:r w:rsidR="000876C2" w:rsidRPr="007608F7">
        <w:rPr>
          <w:sz w:val="28"/>
          <w:szCs w:val="28"/>
        </w:rPr>
        <w:t>омитет по управлению муниципальным</w:t>
      </w:r>
      <w:r w:rsidR="007F4431" w:rsidRPr="007608F7">
        <w:rPr>
          <w:sz w:val="28"/>
          <w:szCs w:val="28"/>
        </w:rPr>
        <w:t xml:space="preserve"> имуществом администрации</w:t>
      </w:r>
      <w:r w:rsidR="006A7745" w:rsidRPr="007608F7">
        <w:rPr>
          <w:sz w:val="28"/>
          <w:szCs w:val="28"/>
        </w:rPr>
        <w:t xml:space="preserve"> города</w:t>
      </w:r>
      <w:r w:rsidR="00DC5885" w:rsidRPr="007608F7">
        <w:rPr>
          <w:sz w:val="28"/>
          <w:szCs w:val="28"/>
        </w:rPr>
        <w:t xml:space="preserve"> </w:t>
      </w:r>
      <w:r w:rsidR="009004F7" w:rsidRPr="007608F7">
        <w:rPr>
          <w:sz w:val="28"/>
          <w:szCs w:val="28"/>
        </w:rPr>
        <w:t>–</w:t>
      </w:r>
      <w:r w:rsidR="00DC5885" w:rsidRPr="007608F7">
        <w:rPr>
          <w:sz w:val="28"/>
          <w:szCs w:val="28"/>
        </w:rPr>
        <w:t xml:space="preserve"> </w:t>
      </w:r>
      <w:r w:rsidR="002B32CA" w:rsidRPr="007608F7">
        <w:rPr>
          <w:sz w:val="28"/>
          <w:szCs w:val="28"/>
        </w:rPr>
        <w:t>4</w:t>
      </w:r>
      <w:r w:rsidR="00E513D2" w:rsidRPr="007608F7">
        <w:rPr>
          <w:sz w:val="28"/>
          <w:szCs w:val="28"/>
        </w:rPr>
        <w:t>0</w:t>
      </w:r>
      <w:r w:rsidR="002B32CA" w:rsidRPr="007608F7">
        <w:rPr>
          <w:sz w:val="28"/>
          <w:szCs w:val="28"/>
        </w:rPr>
        <w:t> </w:t>
      </w:r>
      <w:r w:rsidR="00E513D2" w:rsidRPr="007608F7">
        <w:rPr>
          <w:sz w:val="28"/>
          <w:szCs w:val="28"/>
        </w:rPr>
        <w:t>000,00</w:t>
      </w:r>
      <w:r w:rsidR="005A06EA" w:rsidRPr="007608F7">
        <w:rPr>
          <w:sz w:val="28"/>
          <w:szCs w:val="28"/>
        </w:rPr>
        <w:t xml:space="preserve"> рублей</w:t>
      </w:r>
      <w:r w:rsidR="00D26884" w:rsidRPr="007608F7">
        <w:rPr>
          <w:sz w:val="28"/>
          <w:szCs w:val="28"/>
        </w:rPr>
        <w:t xml:space="preserve"> 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="00D26884" w:rsidRPr="007608F7">
        <w:rPr>
          <w:sz w:val="28"/>
          <w:szCs w:val="28"/>
        </w:rPr>
        <w:t xml:space="preserve">год </w:t>
      </w:r>
      <w:r w:rsidR="00470ED7" w:rsidRPr="007608F7">
        <w:rPr>
          <w:sz w:val="28"/>
          <w:szCs w:val="28"/>
        </w:rPr>
        <w:t>(</w:t>
      </w:r>
      <w:r w:rsidR="002B32CA" w:rsidRPr="007608F7">
        <w:rPr>
          <w:sz w:val="28"/>
          <w:szCs w:val="28"/>
        </w:rPr>
        <w:t>по 30</w:t>
      </w:r>
      <w:r w:rsidR="00E513D2" w:rsidRPr="007608F7">
        <w:rPr>
          <w:sz w:val="28"/>
          <w:szCs w:val="28"/>
        </w:rPr>
        <w:t xml:space="preserve"> 000,00</w:t>
      </w:r>
      <w:r w:rsidR="005A06EA" w:rsidRPr="007608F7">
        <w:rPr>
          <w:sz w:val="28"/>
          <w:szCs w:val="28"/>
        </w:rPr>
        <w:t xml:space="preserve"> рублей</w:t>
      </w:r>
      <w:r w:rsidR="00470ED7" w:rsidRPr="007608F7">
        <w:rPr>
          <w:sz w:val="28"/>
          <w:szCs w:val="28"/>
        </w:rPr>
        <w:t xml:space="preserve"> </w:t>
      </w:r>
      <w:r w:rsidR="00717854" w:rsidRPr="007608F7">
        <w:rPr>
          <w:sz w:val="28"/>
          <w:szCs w:val="28"/>
        </w:rPr>
        <w:t xml:space="preserve">– </w:t>
      </w:r>
      <w:r w:rsidR="003A5B30" w:rsidRPr="007608F7">
        <w:rPr>
          <w:sz w:val="28"/>
          <w:szCs w:val="28"/>
        </w:rPr>
        <w:t xml:space="preserve">на </w:t>
      </w:r>
      <w:r w:rsidR="007A134B" w:rsidRPr="007608F7">
        <w:rPr>
          <w:sz w:val="28"/>
          <w:szCs w:val="28"/>
        </w:rPr>
        <w:t>2025 и</w:t>
      </w:r>
      <w:r w:rsidR="002B32CA"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2026</w:t>
      </w:r>
      <w:r w:rsidR="00717854" w:rsidRPr="007608F7">
        <w:rPr>
          <w:sz w:val="28"/>
          <w:szCs w:val="28"/>
        </w:rPr>
        <w:t> год</w:t>
      </w:r>
      <w:r w:rsidR="002B32CA" w:rsidRPr="007608F7">
        <w:rPr>
          <w:sz w:val="28"/>
          <w:szCs w:val="28"/>
        </w:rPr>
        <w:t>ы соответственно</w:t>
      </w:r>
      <w:r w:rsidR="003A5B30" w:rsidRPr="007608F7">
        <w:rPr>
          <w:sz w:val="28"/>
          <w:szCs w:val="28"/>
        </w:rPr>
        <w:t>)</w:t>
      </w:r>
      <w:r w:rsidR="00470ED7" w:rsidRPr="007608F7">
        <w:rPr>
          <w:sz w:val="28"/>
          <w:szCs w:val="28"/>
        </w:rPr>
        <w:t xml:space="preserve"> </w:t>
      </w:r>
      <w:r w:rsidR="00595701" w:rsidRPr="007608F7">
        <w:rPr>
          <w:sz w:val="28"/>
          <w:szCs w:val="28"/>
        </w:rPr>
        <w:t>по государственной пошлине за выдачу разрешения на установку рекламной конструкции</w:t>
      </w:r>
      <w:r w:rsidRPr="007608F7">
        <w:rPr>
          <w:sz w:val="28"/>
          <w:szCs w:val="28"/>
        </w:rPr>
        <w:t>;</w:t>
      </w:r>
    </w:p>
    <w:p w14:paraId="0AD0AF00" w14:textId="578D7D80" w:rsidR="00717854" w:rsidRPr="007608F7" w:rsidRDefault="00DC5885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Общий о</w:t>
      </w:r>
      <w:r w:rsidR="003C39B2" w:rsidRPr="007608F7">
        <w:rPr>
          <w:sz w:val="28"/>
          <w:szCs w:val="28"/>
        </w:rPr>
        <w:t xml:space="preserve">бъем поступлений </w:t>
      </w:r>
      <w:r w:rsidR="000B1E64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="000B1E64" w:rsidRPr="007608F7">
        <w:rPr>
          <w:sz w:val="28"/>
          <w:szCs w:val="28"/>
        </w:rPr>
        <w:t xml:space="preserve">год </w:t>
      </w:r>
      <w:r w:rsidR="003C39B2" w:rsidRPr="007608F7">
        <w:rPr>
          <w:sz w:val="28"/>
          <w:szCs w:val="28"/>
        </w:rPr>
        <w:t>прогнозируется</w:t>
      </w:r>
      <w:r w:rsidR="007F4431" w:rsidRPr="007608F7">
        <w:rPr>
          <w:sz w:val="28"/>
          <w:szCs w:val="28"/>
        </w:rPr>
        <w:t xml:space="preserve"> </w:t>
      </w:r>
      <w:r w:rsidR="003C39B2" w:rsidRPr="007608F7">
        <w:rPr>
          <w:sz w:val="28"/>
          <w:szCs w:val="28"/>
        </w:rPr>
        <w:t xml:space="preserve">в размере </w:t>
      </w:r>
      <w:r w:rsidR="002B32CA" w:rsidRPr="007608F7">
        <w:rPr>
          <w:sz w:val="28"/>
          <w:szCs w:val="28"/>
        </w:rPr>
        <w:t>28 506 768,00</w:t>
      </w:r>
      <w:r w:rsidR="00D810E0" w:rsidRPr="007608F7">
        <w:rPr>
          <w:sz w:val="28"/>
          <w:szCs w:val="28"/>
        </w:rPr>
        <w:t> </w:t>
      </w:r>
      <w:r w:rsidR="005A06EA" w:rsidRPr="007608F7">
        <w:rPr>
          <w:sz w:val="28"/>
          <w:szCs w:val="28"/>
        </w:rPr>
        <w:t>рубл</w:t>
      </w:r>
      <w:r w:rsidR="00EC5520" w:rsidRPr="007608F7">
        <w:rPr>
          <w:sz w:val="28"/>
          <w:szCs w:val="28"/>
        </w:rPr>
        <w:t>я</w:t>
      </w:r>
      <w:r w:rsidR="007F4431" w:rsidRPr="007608F7">
        <w:rPr>
          <w:sz w:val="28"/>
          <w:szCs w:val="28"/>
        </w:rPr>
        <w:t xml:space="preserve">, что на </w:t>
      </w:r>
      <w:r w:rsidR="00771A33" w:rsidRPr="007608F7">
        <w:rPr>
          <w:sz w:val="28"/>
          <w:szCs w:val="28"/>
        </w:rPr>
        <w:t>3,18</w:t>
      </w:r>
      <w:r w:rsidR="003A5B30" w:rsidRPr="007608F7">
        <w:rPr>
          <w:sz w:val="28"/>
          <w:szCs w:val="28"/>
        </w:rPr>
        <w:t>%</w:t>
      </w:r>
      <w:r w:rsidR="000B1E64" w:rsidRPr="007608F7">
        <w:rPr>
          <w:sz w:val="28"/>
          <w:szCs w:val="28"/>
        </w:rPr>
        <w:t xml:space="preserve"> выше</w:t>
      </w:r>
      <w:r w:rsidR="007F4431" w:rsidRPr="007608F7">
        <w:rPr>
          <w:sz w:val="28"/>
          <w:szCs w:val="28"/>
        </w:rPr>
        <w:t xml:space="preserve"> ожидаемых поступлений в </w:t>
      </w:r>
      <w:r w:rsidR="0091784C" w:rsidRPr="007608F7">
        <w:rPr>
          <w:sz w:val="28"/>
          <w:szCs w:val="28"/>
        </w:rPr>
        <w:t>202</w:t>
      </w:r>
      <w:r w:rsidR="00771A33" w:rsidRPr="007608F7">
        <w:rPr>
          <w:sz w:val="28"/>
          <w:szCs w:val="28"/>
        </w:rPr>
        <w:t>3</w:t>
      </w:r>
      <w:r w:rsidR="007F4431" w:rsidRPr="007608F7">
        <w:rPr>
          <w:sz w:val="28"/>
          <w:szCs w:val="28"/>
        </w:rPr>
        <w:t> году</w:t>
      </w:r>
      <w:r w:rsidR="00F2398C" w:rsidRPr="007608F7">
        <w:rPr>
          <w:sz w:val="28"/>
          <w:szCs w:val="28"/>
        </w:rPr>
        <w:t>,</w:t>
      </w:r>
      <w:r w:rsidR="00A77B4F" w:rsidRPr="007608F7">
        <w:rPr>
          <w:sz w:val="28"/>
          <w:szCs w:val="28"/>
        </w:rPr>
        <w:t xml:space="preserve"> на </w:t>
      </w:r>
      <w:r w:rsidR="00DE0A2B" w:rsidRPr="007608F7">
        <w:rPr>
          <w:sz w:val="28"/>
          <w:szCs w:val="28"/>
        </w:rPr>
        <w:t>2025</w:t>
      </w:r>
      <w:r w:rsidR="00E513D2" w:rsidRPr="007608F7">
        <w:rPr>
          <w:sz w:val="28"/>
          <w:szCs w:val="28"/>
        </w:rPr>
        <w:t> </w:t>
      </w:r>
      <w:r w:rsidR="00771A33" w:rsidRPr="007608F7">
        <w:rPr>
          <w:sz w:val="28"/>
          <w:szCs w:val="28"/>
        </w:rPr>
        <w:t>год - 29 635 438,70 рубля и на 2026 год – 30 819 656,30 рубля</w:t>
      </w:r>
      <w:r w:rsidR="008D252C" w:rsidRPr="007608F7">
        <w:rPr>
          <w:sz w:val="28"/>
          <w:szCs w:val="28"/>
        </w:rPr>
        <w:t>.</w:t>
      </w:r>
    </w:p>
    <w:p w14:paraId="02D6492D" w14:textId="77777777" w:rsidR="00F534C1" w:rsidRPr="007608F7" w:rsidRDefault="00F534C1" w:rsidP="00EB4484">
      <w:pPr>
        <w:widowControl w:val="0"/>
        <w:ind w:firstLine="709"/>
        <w:jc w:val="both"/>
        <w:rPr>
          <w:sz w:val="22"/>
          <w:szCs w:val="22"/>
        </w:rPr>
      </w:pPr>
    </w:p>
    <w:p w14:paraId="71C20355" w14:textId="77777777" w:rsidR="00FA1F1A" w:rsidRPr="007608F7" w:rsidRDefault="00FA1F1A" w:rsidP="00EB4484">
      <w:pPr>
        <w:pStyle w:val="ac"/>
        <w:keepNext/>
        <w:widowControl w:val="0"/>
        <w:ind w:firstLine="0"/>
        <w:rPr>
          <w:szCs w:val="28"/>
          <w:u w:val="single"/>
        </w:rPr>
      </w:pPr>
      <w:r w:rsidRPr="007608F7">
        <w:rPr>
          <w:szCs w:val="28"/>
          <w:u w:val="single"/>
        </w:rPr>
        <w:t>Неналоговые доходы</w:t>
      </w:r>
    </w:p>
    <w:p w14:paraId="3B06D8BB" w14:textId="5BF5914D" w:rsidR="00464855" w:rsidRPr="007608F7" w:rsidRDefault="00464855" w:rsidP="00EB4484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Прогноз поступлений не</w:t>
      </w:r>
      <w:r w:rsidR="003A5B30" w:rsidRPr="007608F7">
        <w:rPr>
          <w:sz w:val="28"/>
          <w:szCs w:val="28"/>
        </w:rPr>
        <w:t xml:space="preserve">налоговых доходов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в бюджет города составляет </w:t>
      </w:r>
      <w:r w:rsidR="008864EB" w:rsidRPr="007608F7">
        <w:rPr>
          <w:sz w:val="28"/>
          <w:szCs w:val="28"/>
        </w:rPr>
        <w:t>89 887 040,45</w:t>
      </w:r>
      <w:r w:rsidR="003E182F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>, что на</w:t>
      </w:r>
      <w:r w:rsidR="00CD3E58" w:rsidRPr="007608F7">
        <w:rPr>
          <w:sz w:val="28"/>
          <w:szCs w:val="28"/>
        </w:rPr>
        <w:t xml:space="preserve"> </w:t>
      </w:r>
      <w:r w:rsidR="00AA270E" w:rsidRPr="007608F7">
        <w:rPr>
          <w:sz w:val="28"/>
          <w:szCs w:val="28"/>
        </w:rPr>
        <w:t>69,02</w:t>
      </w:r>
      <w:r w:rsidR="008D252C" w:rsidRPr="007608F7">
        <w:rPr>
          <w:sz w:val="28"/>
          <w:szCs w:val="28"/>
        </w:rPr>
        <w:t>%</w:t>
      </w:r>
      <w:r w:rsidRPr="007608F7">
        <w:rPr>
          <w:sz w:val="28"/>
          <w:szCs w:val="28"/>
        </w:rPr>
        <w:t xml:space="preserve"> или </w:t>
      </w:r>
      <w:r w:rsidR="00AA270E" w:rsidRPr="007608F7">
        <w:rPr>
          <w:sz w:val="28"/>
          <w:szCs w:val="28"/>
        </w:rPr>
        <w:t>200 263 226,22</w:t>
      </w:r>
      <w:r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 xml:space="preserve"> </w:t>
      </w:r>
      <w:r w:rsidR="005C6B01" w:rsidRPr="007608F7">
        <w:rPr>
          <w:sz w:val="28"/>
          <w:szCs w:val="28"/>
        </w:rPr>
        <w:t>ниже</w:t>
      </w:r>
      <w:r w:rsidRPr="007608F7">
        <w:rPr>
          <w:sz w:val="28"/>
          <w:szCs w:val="28"/>
        </w:rPr>
        <w:t xml:space="preserve"> оценки ожидаемого поступления данных доходов в </w:t>
      </w:r>
      <w:r w:rsidR="0091784C" w:rsidRPr="007608F7">
        <w:rPr>
          <w:sz w:val="28"/>
          <w:szCs w:val="28"/>
        </w:rPr>
        <w:t>202</w:t>
      </w:r>
      <w:r w:rsidR="00AA270E" w:rsidRPr="007608F7">
        <w:rPr>
          <w:sz w:val="28"/>
          <w:szCs w:val="28"/>
        </w:rPr>
        <w:t>3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году, на </w:t>
      </w:r>
      <w:r w:rsidR="00DE0A2B" w:rsidRPr="007608F7">
        <w:rPr>
          <w:sz w:val="28"/>
          <w:szCs w:val="28"/>
        </w:rPr>
        <w:t>2025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- составляет </w:t>
      </w:r>
      <w:r w:rsidR="00AA270E" w:rsidRPr="007608F7">
        <w:rPr>
          <w:sz w:val="28"/>
          <w:szCs w:val="28"/>
        </w:rPr>
        <w:t>89 496 703,87</w:t>
      </w:r>
      <w:r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 xml:space="preserve">, на </w:t>
      </w:r>
      <w:r w:rsidR="00DE0A2B" w:rsidRPr="007608F7">
        <w:rPr>
          <w:sz w:val="28"/>
          <w:szCs w:val="28"/>
        </w:rPr>
        <w:t>2026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</w:t>
      </w:r>
      <w:r w:rsidR="008D252C" w:rsidRPr="007608F7">
        <w:rPr>
          <w:sz w:val="28"/>
          <w:szCs w:val="28"/>
        </w:rPr>
        <w:t>–</w:t>
      </w:r>
      <w:r w:rsidRPr="007608F7">
        <w:rPr>
          <w:sz w:val="28"/>
          <w:szCs w:val="28"/>
        </w:rPr>
        <w:t xml:space="preserve"> </w:t>
      </w:r>
      <w:r w:rsidR="00AA270E" w:rsidRPr="007608F7">
        <w:rPr>
          <w:sz w:val="28"/>
          <w:szCs w:val="28"/>
        </w:rPr>
        <w:t>85 609 889,33</w:t>
      </w:r>
      <w:r w:rsidR="003014A8" w:rsidRPr="007608F7">
        <w:rPr>
          <w:sz w:val="28"/>
          <w:szCs w:val="28"/>
        </w:rPr>
        <w:t xml:space="preserve"> </w:t>
      </w:r>
      <w:r w:rsidR="00FF6E69" w:rsidRPr="007608F7">
        <w:rPr>
          <w:sz w:val="28"/>
          <w:szCs w:val="28"/>
        </w:rPr>
        <w:t>рубля</w:t>
      </w:r>
      <w:r w:rsidRPr="007608F7">
        <w:rPr>
          <w:sz w:val="28"/>
          <w:szCs w:val="28"/>
        </w:rPr>
        <w:t>.</w:t>
      </w:r>
    </w:p>
    <w:p w14:paraId="10B54A4A" w14:textId="77777777" w:rsidR="00F2398C" w:rsidRPr="007608F7" w:rsidRDefault="00F2398C" w:rsidP="00EB4484">
      <w:pPr>
        <w:widowControl w:val="0"/>
        <w:ind w:firstLine="709"/>
        <w:jc w:val="both"/>
        <w:rPr>
          <w:sz w:val="22"/>
          <w:szCs w:val="22"/>
        </w:rPr>
      </w:pPr>
    </w:p>
    <w:p w14:paraId="15EFAFE2" w14:textId="77777777" w:rsidR="00595B10" w:rsidRPr="007608F7" w:rsidRDefault="00595B10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Плата за негативное воздействие</w:t>
      </w:r>
    </w:p>
    <w:p w14:paraId="273B3104" w14:textId="27317B57" w:rsidR="00651B83" w:rsidRPr="007608F7" w:rsidRDefault="00595B10" w:rsidP="00EB4484">
      <w:pPr>
        <w:keepNext/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поступлений платы за негативное воздействие на окружающую среду на </w:t>
      </w:r>
      <w:r w:rsidR="00DE0A2B" w:rsidRPr="007608F7">
        <w:rPr>
          <w:sz w:val="28"/>
          <w:szCs w:val="28"/>
        </w:rPr>
        <w:t>2024</w:t>
      </w:r>
      <w:r w:rsidR="00B75D76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год</w:t>
      </w:r>
      <w:r w:rsidR="00651B83" w:rsidRPr="007608F7">
        <w:rPr>
          <w:sz w:val="28"/>
          <w:szCs w:val="28"/>
        </w:rPr>
        <w:t>ы</w:t>
      </w:r>
      <w:r w:rsidRPr="007608F7">
        <w:rPr>
          <w:sz w:val="28"/>
          <w:szCs w:val="28"/>
        </w:rPr>
        <w:t xml:space="preserve"> осуществлен </w:t>
      </w:r>
      <w:r w:rsidR="005B7818" w:rsidRPr="007608F7">
        <w:rPr>
          <w:sz w:val="28"/>
          <w:szCs w:val="28"/>
        </w:rPr>
        <w:t xml:space="preserve">на основании </w:t>
      </w:r>
      <w:r w:rsidR="006B2DDA" w:rsidRPr="007608F7">
        <w:rPr>
          <w:sz w:val="28"/>
          <w:szCs w:val="28"/>
        </w:rPr>
        <w:t xml:space="preserve">информации </w:t>
      </w:r>
      <w:r w:rsidR="005B7818" w:rsidRPr="007608F7">
        <w:rPr>
          <w:sz w:val="28"/>
          <w:szCs w:val="28"/>
        </w:rPr>
        <w:t xml:space="preserve">главного администратора доходов – </w:t>
      </w:r>
      <w:r w:rsidR="00DE0B73" w:rsidRPr="007608F7">
        <w:rPr>
          <w:sz w:val="28"/>
          <w:szCs w:val="28"/>
        </w:rPr>
        <w:t xml:space="preserve">Межрегиональное управление </w:t>
      </w:r>
      <w:r w:rsidR="00E771FF" w:rsidRPr="007608F7">
        <w:rPr>
          <w:sz w:val="28"/>
          <w:szCs w:val="28"/>
        </w:rPr>
        <w:t xml:space="preserve">Росприроднадзора </w:t>
      </w:r>
      <w:r w:rsidR="006B2DDA" w:rsidRPr="007608F7">
        <w:rPr>
          <w:sz w:val="28"/>
          <w:szCs w:val="28"/>
        </w:rPr>
        <w:t>по Иркутской области</w:t>
      </w:r>
      <w:r w:rsidR="00DE0B73" w:rsidRPr="007608F7">
        <w:rPr>
          <w:sz w:val="28"/>
          <w:szCs w:val="28"/>
        </w:rPr>
        <w:t xml:space="preserve"> и Байкальской природной территории</w:t>
      </w:r>
      <w:r w:rsidR="00651B83" w:rsidRPr="007608F7">
        <w:rPr>
          <w:sz w:val="28"/>
          <w:szCs w:val="28"/>
        </w:rPr>
        <w:t>.</w:t>
      </w:r>
    </w:p>
    <w:p w14:paraId="2101DA5D" w14:textId="1DB15481" w:rsidR="00F56D68" w:rsidRPr="007608F7" w:rsidRDefault="00651B83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прогнозируется в размере </w:t>
      </w:r>
      <w:r w:rsidR="00AA270E" w:rsidRPr="007608F7">
        <w:rPr>
          <w:sz w:val="28"/>
          <w:szCs w:val="28"/>
        </w:rPr>
        <w:t>8 918 000,00 </w:t>
      </w:r>
      <w:r w:rsidR="005A06EA" w:rsidRPr="007608F7">
        <w:rPr>
          <w:sz w:val="28"/>
          <w:szCs w:val="28"/>
        </w:rPr>
        <w:t>рублей</w:t>
      </w:r>
      <w:r w:rsidRPr="007608F7">
        <w:rPr>
          <w:sz w:val="28"/>
          <w:szCs w:val="28"/>
        </w:rPr>
        <w:t xml:space="preserve">, что на </w:t>
      </w:r>
      <w:r w:rsidR="00AA270E" w:rsidRPr="007608F7">
        <w:rPr>
          <w:sz w:val="28"/>
          <w:szCs w:val="28"/>
        </w:rPr>
        <w:t>3,99</w:t>
      </w:r>
      <w:r w:rsidRPr="007608F7">
        <w:rPr>
          <w:sz w:val="28"/>
          <w:szCs w:val="28"/>
        </w:rPr>
        <w:t xml:space="preserve">% </w:t>
      </w:r>
      <w:r w:rsidR="00AA270E" w:rsidRPr="007608F7">
        <w:rPr>
          <w:sz w:val="28"/>
          <w:szCs w:val="28"/>
        </w:rPr>
        <w:t>выше</w:t>
      </w:r>
      <w:r w:rsidRPr="007608F7">
        <w:rPr>
          <w:sz w:val="28"/>
          <w:szCs w:val="28"/>
        </w:rPr>
        <w:t xml:space="preserve"> ожидаемых поступлений в </w:t>
      </w:r>
      <w:r w:rsidR="0091784C" w:rsidRPr="007608F7">
        <w:rPr>
          <w:sz w:val="28"/>
          <w:szCs w:val="28"/>
        </w:rPr>
        <w:t>202</w:t>
      </w:r>
      <w:r w:rsidR="00AA270E" w:rsidRPr="007608F7">
        <w:rPr>
          <w:sz w:val="28"/>
          <w:szCs w:val="28"/>
        </w:rPr>
        <w:t>3</w:t>
      </w:r>
      <w:r w:rsidRPr="007608F7">
        <w:rPr>
          <w:sz w:val="28"/>
          <w:szCs w:val="28"/>
        </w:rPr>
        <w:t xml:space="preserve"> году, </w:t>
      </w:r>
      <w:r w:rsidR="00261C1B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="009004F7" w:rsidRPr="007608F7">
        <w:rPr>
          <w:sz w:val="28"/>
          <w:szCs w:val="28"/>
        </w:rPr>
        <w:t> </w:t>
      </w:r>
      <w:r w:rsidR="00261C1B" w:rsidRPr="007608F7">
        <w:rPr>
          <w:sz w:val="28"/>
          <w:szCs w:val="28"/>
        </w:rPr>
        <w:t xml:space="preserve">год – </w:t>
      </w:r>
      <w:r w:rsidR="00AA270E" w:rsidRPr="007608F7">
        <w:rPr>
          <w:sz w:val="28"/>
          <w:szCs w:val="28"/>
        </w:rPr>
        <w:t>9 276 000,00 р</w:t>
      </w:r>
      <w:r w:rsidR="005A06EA" w:rsidRPr="007608F7">
        <w:rPr>
          <w:sz w:val="28"/>
          <w:szCs w:val="28"/>
        </w:rPr>
        <w:t>ублей</w:t>
      </w:r>
      <w:r w:rsidR="00261C1B" w:rsidRPr="007608F7">
        <w:rPr>
          <w:sz w:val="28"/>
          <w:szCs w:val="28"/>
        </w:rPr>
        <w:t xml:space="preserve">, что </w:t>
      </w:r>
      <w:r w:rsidR="008D252C" w:rsidRPr="007608F7">
        <w:rPr>
          <w:sz w:val="28"/>
          <w:szCs w:val="28"/>
        </w:rPr>
        <w:t xml:space="preserve">на </w:t>
      </w:r>
      <w:r w:rsidR="00AA270E" w:rsidRPr="007608F7">
        <w:rPr>
          <w:sz w:val="28"/>
          <w:szCs w:val="28"/>
        </w:rPr>
        <w:t>4,01</w:t>
      </w:r>
      <w:r w:rsidR="008D252C" w:rsidRPr="007608F7">
        <w:rPr>
          <w:sz w:val="28"/>
          <w:szCs w:val="28"/>
        </w:rPr>
        <w:t>% выше</w:t>
      </w:r>
      <w:r w:rsidR="00261C1B" w:rsidRPr="007608F7">
        <w:rPr>
          <w:sz w:val="28"/>
          <w:szCs w:val="28"/>
        </w:rPr>
        <w:t xml:space="preserve"> </w:t>
      </w:r>
      <w:r w:rsidR="00674739" w:rsidRPr="007608F7">
        <w:rPr>
          <w:sz w:val="28"/>
          <w:szCs w:val="28"/>
        </w:rPr>
        <w:t>прогнозируемого поступления</w:t>
      </w:r>
      <w:r w:rsidR="0084525F"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2024</w:t>
      </w:r>
      <w:r w:rsidR="0084525F" w:rsidRPr="007608F7">
        <w:rPr>
          <w:sz w:val="28"/>
          <w:szCs w:val="28"/>
        </w:rPr>
        <w:t> </w:t>
      </w:r>
      <w:r w:rsidR="00261C1B" w:rsidRPr="007608F7">
        <w:rPr>
          <w:sz w:val="28"/>
          <w:szCs w:val="28"/>
        </w:rPr>
        <w:t xml:space="preserve">года, в </w:t>
      </w:r>
      <w:r w:rsidR="00DE0A2B" w:rsidRPr="007608F7">
        <w:rPr>
          <w:sz w:val="28"/>
          <w:szCs w:val="28"/>
        </w:rPr>
        <w:t>2026</w:t>
      </w:r>
      <w:r w:rsidR="00714E90" w:rsidRPr="007608F7">
        <w:rPr>
          <w:sz w:val="28"/>
          <w:szCs w:val="28"/>
        </w:rPr>
        <w:t> </w:t>
      </w:r>
      <w:r w:rsidR="00261C1B" w:rsidRPr="007608F7">
        <w:rPr>
          <w:sz w:val="28"/>
          <w:szCs w:val="28"/>
        </w:rPr>
        <w:t>год</w:t>
      </w:r>
      <w:r w:rsidR="00714E90" w:rsidRPr="007608F7">
        <w:rPr>
          <w:sz w:val="28"/>
          <w:szCs w:val="28"/>
        </w:rPr>
        <w:t>у</w:t>
      </w:r>
      <w:r w:rsidR="005C6B01" w:rsidRPr="007608F7">
        <w:rPr>
          <w:sz w:val="28"/>
          <w:szCs w:val="28"/>
        </w:rPr>
        <w:t xml:space="preserve"> – </w:t>
      </w:r>
      <w:r w:rsidR="00AA270E" w:rsidRPr="007608F7">
        <w:rPr>
          <w:sz w:val="28"/>
          <w:szCs w:val="28"/>
        </w:rPr>
        <w:t>9 647 000,00</w:t>
      </w:r>
      <w:r w:rsidR="005A06EA" w:rsidRPr="007608F7">
        <w:rPr>
          <w:sz w:val="28"/>
          <w:szCs w:val="28"/>
        </w:rPr>
        <w:t xml:space="preserve"> рублей</w:t>
      </w:r>
      <w:r w:rsidR="00CD3E58" w:rsidRPr="007608F7">
        <w:rPr>
          <w:sz w:val="28"/>
          <w:szCs w:val="28"/>
        </w:rPr>
        <w:t xml:space="preserve"> что на </w:t>
      </w:r>
      <w:r w:rsidR="001A2E01" w:rsidRPr="007608F7">
        <w:rPr>
          <w:sz w:val="28"/>
          <w:szCs w:val="28"/>
        </w:rPr>
        <w:t>4</w:t>
      </w:r>
      <w:r w:rsidR="005C6B01" w:rsidRPr="007608F7">
        <w:rPr>
          <w:sz w:val="28"/>
          <w:szCs w:val="28"/>
        </w:rPr>
        <w:t xml:space="preserve">% выше прогнозируемого поступления </w:t>
      </w:r>
      <w:r w:rsidR="00DE0A2B" w:rsidRPr="007608F7">
        <w:rPr>
          <w:sz w:val="28"/>
          <w:szCs w:val="28"/>
        </w:rPr>
        <w:t>2025</w:t>
      </w:r>
      <w:r w:rsidR="00CD3E58" w:rsidRPr="007608F7">
        <w:rPr>
          <w:sz w:val="28"/>
          <w:szCs w:val="28"/>
        </w:rPr>
        <w:t> </w:t>
      </w:r>
      <w:r w:rsidR="005C6B01" w:rsidRPr="007608F7">
        <w:rPr>
          <w:sz w:val="28"/>
          <w:szCs w:val="28"/>
        </w:rPr>
        <w:t>года</w:t>
      </w:r>
      <w:r w:rsidRPr="007608F7">
        <w:rPr>
          <w:sz w:val="28"/>
          <w:szCs w:val="28"/>
        </w:rPr>
        <w:t>.</w:t>
      </w:r>
      <w:r w:rsidR="001A2E01" w:rsidRPr="007608F7">
        <w:rPr>
          <w:sz w:val="28"/>
          <w:szCs w:val="28"/>
        </w:rPr>
        <w:t xml:space="preserve"> </w:t>
      </w:r>
    </w:p>
    <w:p w14:paraId="70496ECC" w14:textId="77777777" w:rsidR="005B2E42" w:rsidRPr="007608F7" w:rsidRDefault="005B2E42" w:rsidP="00EB44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В соответствии с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плата за негативное воздействие на окружающую среду, штрафы за правонарушения в области охраны окружающей среды и природопользования, платежи по искам о возмещении вреда, причиненного окружающей среде, а также при добровольном возмещении указанного вреда (далее - экологические платежи) носят целевой характер и не могут быть использованы на цели, не предусмотренные данным законом. </w:t>
      </w:r>
    </w:p>
    <w:p w14:paraId="6A59BCD3" w14:textId="40F28AD0" w:rsidR="005B2E42" w:rsidRPr="007608F7" w:rsidRDefault="005B2E42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bCs/>
          <w:sz w:val="28"/>
          <w:szCs w:val="28"/>
        </w:rPr>
        <w:t>Таким образом, прогнозируемый объем доходов от «экологических платежей»</w:t>
      </w:r>
      <w:r w:rsidRPr="007608F7">
        <w:rPr>
          <w:sz w:val="28"/>
          <w:szCs w:val="28"/>
        </w:rPr>
        <w:t xml:space="preserve"> составляет:</w:t>
      </w:r>
    </w:p>
    <w:p w14:paraId="0FADCB77" w14:textId="0489485D" w:rsidR="005B2E42" w:rsidRPr="007608F7" w:rsidRDefault="005B2E42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2024 год – </w:t>
      </w:r>
      <w:r w:rsidR="00AA270E" w:rsidRPr="007608F7">
        <w:rPr>
          <w:sz w:val="28"/>
          <w:szCs w:val="28"/>
        </w:rPr>
        <w:t>9 098 600,00</w:t>
      </w:r>
      <w:r w:rsidRPr="007608F7">
        <w:rPr>
          <w:sz w:val="28"/>
          <w:szCs w:val="28"/>
        </w:rPr>
        <w:t xml:space="preserve"> рублей,</w:t>
      </w:r>
    </w:p>
    <w:p w14:paraId="19633B6C" w14:textId="4775CC73" w:rsidR="005B2E42" w:rsidRPr="007608F7" w:rsidRDefault="005B2E42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2025 год – </w:t>
      </w:r>
      <w:r w:rsidR="00AA270E" w:rsidRPr="007608F7">
        <w:rPr>
          <w:sz w:val="28"/>
          <w:szCs w:val="28"/>
        </w:rPr>
        <w:t xml:space="preserve">9 456 600,00 </w:t>
      </w:r>
      <w:r w:rsidRPr="007608F7">
        <w:rPr>
          <w:sz w:val="28"/>
          <w:szCs w:val="28"/>
        </w:rPr>
        <w:t>рублей,</w:t>
      </w:r>
    </w:p>
    <w:p w14:paraId="0EEB51A3" w14:textId="50AA68A6" w:rsidR="005B2E42" w:rsidRPr="007608F7" w:rsidRDefault="005B2E42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2026 год – </w:t>
      </w:r>
      <w:r w:rsidR="00AA270E" w:rsidRPr="007608F7">
        <w:rPr>
          <w:sz w:val="28"/>
          <w:szCs w:val="28"/>
        </w:rPr>
        <w:t>9 827 600,00</w:t>
      </w:r>
      <w:r w:rsidRPr="007608F7">
        <w:rPr>
          <w:sz w:val="28"/>
          <w:szCs w:val="28"/>
        </w:rPr>
        <w:t xml:space="preserve"> рублей.</w:t>
      </w:r>
    </w:p>
    <w:p w14:paraId="371CE3BE" w14:textId="77777777" w:rsidR="005B2E42" w:rsidRPr="007608F7" w:rsidRDefault="005B2E42" w:rsidP="00EB4484">
      <w:pPr>
        <w:widowControl w:val="0"/>
        <w:ind w:firstLine="709"/>
        <w:jc w:val="both"/>
        <w:rPr>
          <w:sz w:val="22"/>
          <w:szCs w:val="22"/>
        </w:rPr>
      </w:pPr>
    </w:p>
    <w:p w14:paraId="08609427" w14:textId="77777777" w:rsidR="00595B10" w:rsidRPr="007608F7" w:rsidRDefault="00595B10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 xml:space="preserve">Доходы от оказания платных услуг </w:t>
      </w:r>
      <w:r w:rsidR="007018B8" w:rsidRPr="007608F7">
        <w:rPr>
          <w:szCs w:val="28"/>
        </w:rPr>
        <w:t xml:space="preserve">муниципальными </w:t>
      </w:r>
      <w:r w:rsidRPr="007608F7">
        <w:rPr>
          <w:szCs w:val="28"/>
        </w:rPr>
        <w:t>казенными учреждениями</w:t>
      </w:r>
    </w:p>
    <w:p w14:paraId="7C205EED" w14:textId="77777777" w:rsidR="002737A6" w:rsidRPr="007608F7" w:rsidRDefault="00595B10" w:rsidP="00EB4484">
      <w:pPr>
        <w:keepNext/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поступления доходов от оказания платных услуг (работ) получателями средств бюджета города осуществлен на основании информации </w:t>
      </w:r>
      <w:r w:rsidR="007018B8" w:rsidRPr="007608F7">
        <w:rPr>
          <w:sz w:val="28"/>
          <w:szCs w:val="28"/>
        </w:rPr>
        <w:t xml:space="preserve">муниципальных </w:t>
      </w:r>
      <w:r w:rsidRPr="007608F7">
        <w:rPr>
          <w:sz w:val="28"/>
          <w:szCs w:val="28"/>
        </w:rPr>
        <w:t>казенных учрежд</w:t>
      </w:r>
      <w:r w:rsidR="00122C60" w:rsidRPr="007608F7">
        <w:rPr>
          <w:sz w:val="28"/>
          <w:szCs w:val="28"/>
        </w:rPr>
        <w:t>ений, оказывающих данные услуги</w:t>
      </w:r>
      <w:r w:rsidR="002737A6" w:rsidRPr="007608F7">
        <w:rPr>
          <w:sz w:val="28"/>
          <w:szCs w:val="28"/>
        </w:rPr>
        <w:t xml:space="preserve"> исходя и</w:t>
      </w:r>
      <w:r w:rsidR="006F0A5C" w:rsidRPr="007608F7">
        <w:rPr>
          <w:sz w:val="28"/>
          <w:szCs w:val="28"/>
        </w:rPr>
        <w:t>з планируемо</w:t>
      </w:r>
      <w:r w:rsidR="003E6492" w:rsidRPr="007608F7">
        <w:rPr>
          <w:sz w:val="28"/>
          <w:szCs w:val="28"/>
        </w:rPr>
        <w:t>го объема оказания данных услуг</w:t>
      </w:r>
      <w:r w:rsidR="005A362E" w:rsidRPr="007608F7">
        <w:rPr>
          <w:sz w:val="28"/>
          <w:szCs w:val="28"/>
        </w:rPr>
        <w:t>.</w:t>
      </w:r>
    </w:p>
    <w:p w14:paraId="2B4B0156" w14:textId="5D34CF1E" w:rsidR="00ED326A" w:rsidRPr="007608F7" w:rsidRDefault="00340EDC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 прогнозируется в размере </w:t>
      </w:r>
      <w:r w:rsidR="0074511B" w:rsidRPr="007608F7">
        <w:rPr>
          <w:sz w:val="28"/>
          <w:szCs w:val="28"/>
        </w:rPr>
        <w:t>126 505,83</w:t>
      </w:r>
      <w:r w:rsidR="005A06EA" w:rsidRPr="007608F7">
        <w:rPr>
          <w:sz w:val="28"/>
          <w:szCs w:val="28"/>
        </w:rPr>
        <w:t xml:space="preserve"> рубл</w:t>
      </w:r>
      <w:r w:rsidR="00994793" w:rsidRPr="007608F7">
        <w:rPr>
          <w:sz w:val="28"/>
          <w:szCs w:val="28"/>
        </w:rPr>
        <w:t>я</w:t>
      </w:r>
      <w:r w:rsidRPr="007608F7">
        <w:rPr>
          <w:sz w:val="28"/>
          <w:szCs w:val="28"/>
        </w:rPr>
        <w:t xml:space="preserve">, что </w:t>
      </w:r>
      <w:r w:rsidR="00994793" w:rsidRPr="007608F7">
        <w:rPr>
          <w:sz w:val="28"/>
          <w:szCs w:val="28"/>
        </w:rPr>
        <w:t>ниже</w:t>
      </w:r>
      <w:r w:rsidR="003E6492" w:rsidRPr="007608F7">
        <w:rPr>
          <w:sz w:val="28"/>
          <w:szCs w:val="28"/>
        </w:rPr>
        <w:t xml:space="preserve"> ожидаемых поступлений в </w:t>
      </w:r>
      <w:r w:rsidR="0091784C" w:rsidRPr="007608F7">
        <w:rPr>
          <w:sz w:val="28"/>
          <w:szCs w:val="28"/>
        </w:rPr>
        <w:t>202</w:t>
      </w:r>
      <w:r w:rsidR="0074511B" w:rsidRPr="007608F7">
        <w:rPr>
          <w:sz w:val="28"/>
          <w:szCs w:val="28"/>
        </w:rPr>
        <w:t>3</w:t>
      </w:r>
      <w:r w:rsidR="003E6492" w:rsidRPr="007608F7">
        <w:rPr>
          <w:sz w:val="28"/>
          <w:szCs w:val="28"/>
        </w:rPr>
        <w:t xml:space="preserve"> году на </w:t>
      </w:r>
      <w:r w:rsidR="0074511B" w:rsidRPr="007608F7">
        <w:rPr>
          <w:sz w:val="28"/>
          <w:szCs w:val="28"/>
        </w:rPr>
        <w:t>86,99</w:t>
      </w:r>
      <w:r w:rsidR="005A362E" w:rsidRPr="007608F7">
        <w:rPr>
          <w:sz w:val="28"/>
          <w:szCs w:val="28"/>
        </w:rPr>
        <w:t>%</w:t>
      </w:r>
      <w:r w:rsidR="00674739" w:rsidRPr="007608F7">
        <w:rPr>
          <w:sz w:val="28"/>
          <w:szCs w:val="28"/>
        </w:rPr>
        <w:t xml:space="preserve">, на </w:t>
      </w:r>
      <w:r w:rsidR="00DE0A2B" w:rsidRPr="007608F7">
        <w:rPr>
          <w:sz w:val="28"/>
          <w:szCs w:val="28"/>
        </w:rPr>
        <w:t>2025</w:t>
      </w:r>
      <w:r w:rsidR="002665CE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9004F7" w:rsidRPr="007608F7">
        <w:rPr>
          <w:sz w:val="28"/>
          <w:szCs w:val="28"/>
        </w:rPr>
        <w:t> </w:t>
      </w:r>
      <w:r w:rsidR="00674739" w:rsidRPr="007608F7">
        <w:rPr>
          <w:sz w:val="28"/>
          <w:szCs w:val="28"/>
        </w:rPr>
        <w:t xml:space="preserve">годы по </w:t>
      </w:r>
      <w:r w:rsidR="0074511B" w:rsidRPr="007608F7">
        <w:rPr>
          <w:sz w:val="28"/>
          <w:szCs w:val="28"/>
        </w:rPr>
        <w:t>126 505,86</w:t>
      </w:r>
      <w:r w:rsidR="00994793" w:rsidRPr="007608F7">
        <w:rPr>
          <w:sz w:val="28"/>
          <w:szCs w:val="28"/>
        </w:rPr>
        <w:t> </w:t>
      </w:r>
      <w:r w:rsidR="005A06EA" w:rsidRPr="007608F7">
        <w:rPr>
          <w:sz w:val="28"/>
          <w:szCs w:val="28"/>
        </w:rPr>
        <w:t>рубл</w:t>
      </w:r>
      <w:r w:rsidR="00994793" w:rsidRPr="007608F7">
        <w:rPr>
          <w:sz w:val="28"/>
          <w:szCs w:val="28"/>
        </w:rPr>
        <w:t xml:space="preserve">я </w:t>
      </w:r>
      <w:r w:rsidRPr="007608F7">
        <w:rPr>
          <w:sz w:val="28"/>
          <w:szCs w:val="28"/>
        </w:rPr>
        <w:t xml:space="preserve">ежегодно. </w:t>
      </w:r>
      <w:r w:rsidR="00ED326A" w:rsidRPr="007608F7">
        <w:rPr>
          <w:sz w:val="28"/>
          <w:szCs w:val="28"/>
        </w:rPr>
        <w:t>Снижение в 2024 году обусловлено разовыми поступлениями в 2023 году доходов МКУ «Муниципальный архив» за сдачу архивных документов АО «Гринкомбанк».</w:t>
      </w:r>
    </w:p>
    <w:p w14:paraId="5FF921BE" w14:textId="77777777" w:rsidR="00ED326A" w:rsidRPr="007608F7" w:rsidRDefault="00ED326A" w:rsidP="00EB4484">
      <w:pPr>
        <w:widowControl w:val="0"/>
        <w:ind w:firstLine="709"/>
        <w:jc w:val="both"/>
        <w:rPr>
          <w:sz w:val="22"/>
          <w:szCs w:val="22"/>
        </w:rPr>
      </w:pPr>
    </w:p>
    <w:p w14:paraId="02DC5AEF" w14:textId="77777777" w:rsidR="00595B10" w:rsidRPr="007608F7" w:rsidRDefault="00595B10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Штрафы, санкции, возмещение ущерба</w:t>
      </w:r>
    </w:p>
    <w:p w14:paraId="5A9935F6" w14:textId="65088D8E" w:rsidR="00EC44C9" w:rsidRPr="007608F7" w:rsidRDefault="00EC44C9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поступлений по штрафам, санкциям, возмещению ущерба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и плановый период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 xml:space="preserve"> годов осуществлен на основании информации следующих главных администраторов доходов: </w:t>
      </w:r>
    </w:p>
    <w:p w14:paraId="42B80A3B" w14:textId="7F73D7B1" w:rsidR="00EC44C9" w:rsidRPr="007608F7" w:rsidRDefault="00715214" w:rsidP="00EB4484">
      <w:pPr>
        <w:ind w:right="423"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Ангаро-Байкальское территориальное управление Федерального агентства по рыболовству</w:t>
      </w:r>
      <w:r w:rsidR="00EC44C9" w:rsidRPr="007608F7">
        <w:rPr>
          <w:sz w:val="28"/>
          <w:szCs w:val="28"/>
        </w:rPr>
        <w:t xml:space="preserve"> (</w:t>
      </w:r>
      <w:r w:rsidRPr="007608F7">
        <w:rPr>
          <w:sz w:val="28"/>
          <w:szCs w:val="28"/>
        </w:rPr>
        <w:t>код главы 076</w:t>
      </w:r>
      <w:r w:rsidR="00EC44C9" w:rsidRPr="007608F7">
        <w:rPr>
          <w:sz w:val="28"/>
          <w:szCs w:val="28"/>
        </w:rPr>
        <w:t>);</w:t>
      </w:r>
    </w:p>
    <w:p w14:paraId="4DDC9CE3" w14:textId="0732EE0F" w:rsidR="00EC44C9" w:rsidRPr="007608F7" w:rsidRDefault="00F30636" w:rsidP="00EB4484">
      <w:pPr>
        <w:ind w:right="423"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Министерство социального развития, опеки и попечительства Иркутской области (</w:t>
      </w:r>
      <w:r w:rsidR="00715214" w:rsidRPr="007608F7">
        <w:rPr>
          <w:sz w:val="28"/>
          <w:szCs w:val="28"/>
        </w:rPr>
        <w:t xml:space="preserve">код главы </w:t>
      </w:r>
      <w:r w:rsidR="00EC44C9" w:rsidRPr="007608F7">
        <w:rPr>
          <w:sz w:val="28"/>
          <w:szCs w:val="28"/>
        </w:rPr>
        <w:t>806</w:t>
      </w:r>
      <w:r w:rsidRPr="007608F7">
        <w:rPr>
          <w:sz w:val="28"/>
          <w:szCs w:val="28"/>
        </w:rPr>
        <w:t>);</w:t>
      </w:r>
    </w:p>
    <w:p w14:paraId="237B9F5C" w14:textId="47E36FF8" w:rsidR="00EC44C9" w:rsidRPr="007608F7" w:rsidRDefault="00F30636" w:rsidP="00EB4484">
      <w:pPr>
        <w:ind w:right="423"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Агентство по обеспечению деятельности мировых судей Иркутской области (</w:t>
      </w:r>
      <w:r w:rsidR="00715214" w:rsidRPr="007608F7">
        <w:rPr>
          <w:sz w:val="28"/>
          <w:szCs w:val="28"/>
        </w:rPr>
        <w:t xml:space="preserve">код главы </w:t>
      </w:r>
      <w:r w:rsidR="00EC44C9" w:rsidRPr="007608F7">
        <w:rPr>
          <w:sz w:val="28"/>
          <w:szCs w:val="28"/>
        </w:rPr>
        <w:t>837</w:t>
      </w:r>
      <w:r w:rsidRPr="007608F7">
        <w:rPr>
          <w:sz w:val="28"/>
          <w:szCs w:val="28"/>
        </w:rPr>
        <w:t>);</w:t>
      </w:r>
    </w:p>
    <w:p w14:paraId="286BF565" w14:textId="3D471298" w:rsidR="00EC44C9" w:rsidRPr="007608F7" w:rsidRDefault="00EC44C9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 прогнозируется в размере </w:t>
      </w:r>
      <w:r w:rsidR="00402686" w:rsidRPr="007608F7">
        <w:rPr>
          <w:sz w:val="28"/>
          <w:szCs w:val="28"/>
        </w:rPr>
        <w:t>3 682 952,40</w:t>
      </w:r>
      <w:r w:rsidR="003014A8" w:rsidRPr="007608F7">
        <w:rPr>
          <w:sz w:val="28"/>
          <w:szCs w:val="28"/>
        </w:rPr>
        <w:t xml:space="preserve"> </w:t>
      </w:r>
      <w:r w:rsidR="00FF6E69" w:rsidRPr="007608F7">
        <w:rPr>
          <w:sz w:val="28"/>
          <w:szCs w:val="28"/>
        </w:rPr>
        <w:t>рубл</w:t>
      </w:r>
      <w:r w:rsidR="008B7A84" w:rsidRPr="007608F7">
        <w:rPr>
          <w:sz w:val="28"/>
          <w:szCs w:val="28"/>
        </w:rPr>
        <w:t>ей</w:t>
      </w:r>
      <w:r w:rsidRPr="007608F7">
        <w:rPr>
          <w:sz w:val="28"/>
          <w:szCs w:val="28"/>
        </w:rPr>
        <w:t xml:space="preserve">, что на </w:t>
      </w:r>
      <w:r w:rsidR="00402686" w:rsidRPr="007608F7">
        <w:rPr>
          <w:sz w:val="28"/>
          <w:szCs w:val="28"/>
        </w:rPr>
        <w:t>15,63%</w:t>
      </w:r>
      <w:r w:rsidRPr="007608F7">
        <w:rPr>
          <w:sz w:val="28"/>
          <w:szCs w:val="28"/>
        </w:rPr>
        <w:t xml:space="preserve"> ниже ожидаемого поступления </w:t>
      </w:r>
      <w:r w:rsidR="0091784C" w:rsidRPr="007608F7">
        <w:rPr>
          <w:sz w:val="28"/>
          <w:szCs w:val="28"/>
        </w:rPr>
        <w:t>202</w:t>
      </w:r>
      <w:r w:rsidR="00402686" w:rsidRPr="007608F7">
        <w:rPr>
          <w:sz w:val="28"/>
          <w:szCs w:val="28"/>
        </w:rPr>
        <w:t>3</w:t>
      </w:r>
      <w:r w:rsidRPr="007608F7">
        <w:rPr>
          <w:sz w:val="28"/>
          <w:szCs w:val="28"/>
        </w:rPr>
        <w:t xml:space="preserve"> года, на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 год – </w:t>
      </w:r>
      <w:r w:rsidR="00402686" w:rsidRPr="007608F7">
        <w:rPr>
          <w:sz w:val="28"/>
          <w:szCs w:val="28"/>
        </w:rPr>
        <w:t>3 685 392,40</w:t>
      </w:r>
      <w:r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</w:t>
      </w:r>
      <w:r w:rsidR="008B7A84" w:rsidRPr="007608F7">
        <w:rPr>
          <w:sz w:val="28"/>
          <w:szCs w:val="28"/>
        </w:rPr>
        <w:t>ей</w:t>
      </w:r>
      <w:r w:rsidRPr="007608F7">
        <w:rPr>
          <w:sz w:val="28"/>
          <w:szCs w:val="28"/>
        </w:rPr>
        <w:t xml:space="preserve">, что на </w:t>
      </w:r>
      <w:r w:rsidR="00402686" w:rsidRPr="007608F7">
        <w:rPr>
          <w:sz w:val="28"/>
          <w:szCs w:val="28"/>
        </w:rPr>
        <w:t>0,07</w:t>
      </w:r>
      <w:r w:rsidRPr="007608F7">
        <w:rPr>
          <w:sz w:val="28"/>
          <w:szCs w:val="28"/>
        </w:rPr>
        <w:t xml:space="preserve">% </w:t>
      </w:r>
      <w:r w:rsidR="00FC2DB6" w:rsidRPr="007608F7">
        <w:rPr>
          <w:sz w:val="28"/>
          <w:szCs w:val="28"/>
        </w:rPr>
        <w:t>выше</w:t>
      </w:r>
      <w:r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года, в 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 xml:space="preserve"> году – </w:t>
      </w:r>
      <w:r w:rsidR="00402686" w:rsidRPr="007608F7">
        <w:rPr>
          <w:sz w:val="28"/>
          <w:szCs w:val="28"/>
        </w:rPr>
        <w:t>3 687 932,40</w:t>
      </w:r>
      <w:r w:rsidR="00FC2DB6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 xml:space="preserve">, что на </w:t>
      </w:r>
      <w:r w:rsidR="00FC2DB6" w:rsidRPr="007608F7">
        <w:rPr>
          <w:sz w:val="28"/>
          <w:szCs w:val="28"/>
        </w:rPr>
        <w:t>0,0</w:t>
      </w:r>
      <w:r w:rsidR="00402686" w:rsidRPr="007608F7">
        <w:rPr>
          <w:sz w:val="28"/>
          <w:szCs w:val="28"/>
        </w:rPr>
        <w:t>7</w:t>
      </w:r>
      <w:r w:rsidRPr="007608F7">
        <w:rPr>
          <w:sz w:val="28"/>
          <w:szCs w:val="28"/>
        </w:rPr>
        <w:t xml:space="preserve">% </w:t>
      </w:r>
      <w:r w:rsidR="00FC2DB6" w:rsidRPr="007608F7">
        <w:rPr>
          <w:sz w:val="28"/>
          <w:szCs w:val="28"/>
        </w:rPr>
        <w:t>выше</w:t>
      </w:r>
      <w:r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 года. </w:t>
      </w:r>
    </w:p>
    <w:p w14:paraId="79B56834" w14:textId="418B03A5" w:rsidR="001B520D" w:rsidRPr="007608F7" w:rsidRDefault="00EC44C9" w:rsidP="00EB4484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Снижение обусловлено </w:t>
      </w:r>
      <w:r w:rsidR="004A1E03" w:rsidRPr="007608F7">
        <w:rPr>
          <w:sz w:val="28"/>
          <w:szCs w:val="28"/>
        </w:rPr>
        <w:t xml:space="preserve">непрогнозируемым объемом штрафов, </w:t>
      </w:r>
      <w:r w:rsidR="009F16B0" w:rsidRPr="007608F7">
        <w:rPr>
          <w:sz w:val="28"/>
          <w:szCs w:val="28"/>
        </w:rPr>
        <w:t xml:space="preserve">администрируемых Межрайонной ИФНС России № 21 по Иркутской области от сумм пеней, предусмотренных законодательством Российской Федерации о налогах и сборах, а также </w:t>
      </w:r>
      <w:r w:rsidR="004A1E03" w:rsidRPr="007608F7">
        <w:rPr>
          <w:sz w:val="28"/>
          <w:szCs w:val="28"/>
        </w:rPr>
        <w:t xml:space="preserve">администрируемых </w:t>
      </w:r>
      <w:r w:rsidR="00B0329B" w:rsidRPr="007608F7">
        <w:rPr>
          <w:sz w:val="28"/>
          <w:szCs w:val="28"/>
        </w:rPr>
        <w:t>комитетом по управлению имуществом администрации города</w:t>
      </w:r>
      <w:r w:rsidR="001B520D" w:rsidRPr="007608F7">
        <w:rPr>
          <w:sz w:val="28"/>
          <w:szCs w:val="28"/>
        </w:rPr>
        <w:t>, и непрогнозируемым объемом штрафов</w:t>
      </w:r>
      <w:r w:rsidR="00402686" w:rsidRPr="007608F7">
        <w:rPr>
          <w:sz w:val="28"/>
          <w:szCs w:val="28"/>
        </w:rPr>
        <w:t>,</w:t>
      </w:r>
      <w:r w:rsidR="00715214" w:rsidRPr="007608F7">
        <w:rPr>
          <w:sz w:val="28"/>
          <w:szCs w:val="28"/>
        </w:rPr>
        <w:t xml:space="preserve"> уплачиваемых в случае просрочки исполнения поставщиком обязательств, предусмотренных муниципальным контрактом. </w:t>
      </w:r>
    </w:p>
    <w:p w14:paraId="36718EC2" w14:textId="77777777" w:rsidR="00715214" w:rsidRPr="007608F7" w:rsidRDefault="00715214" w:rsidP="00EB4484">
      <w:pPr>
        <w:widowControl w:val="0"/>
        <w:ind w:firstLine="709"/>
        <w:jc w:val="both"/>
        <w:rPr>
          <w:sz w:val="22"/>
          <w:szCs w:val="22"/>
        </w:rPr>
      </w:pPr>
    </w:p>
    <w:p w14:paraId="378FB7ED" w14:textId="77777777" w:rsidR="00DE07F8" w:rsidRPr="007608F7" w:rsidRDefault="0072625C" w:rsidP="00EB4484">
      <w:pPr>
        <w:pStyle w:val="ac"/>
        <w:keepNext/>
        <w:widowControl w:val="0"/>
        <w:ind w:firstLine="0"/>
        <w:rPr>
          <w:szCs w:val="28"/>
        </w:rPr>
      </w:pPr>
      <w:r w:rsidRPr="007608F7">
        <w:rPr>
          <w:szCs w:val="28"/>
        </w:rPr>
        <w:t>Плата за размещение нестационарных торговых объектов</w:t>
      </w:r>
    </w:p>
    <w:p w14:paraId="1F8FD544" w14:textId="723CC053" w:rsidR="0072625C" w:rsidRPr="007608F7" w:rsidRDefault="0072625C" w:rsidP="00EB4484">
      <w:pPr>
        <w:keepNext/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поступления доходов от размещения нестационарных торговых объектов осуществлен на основании информации </w:t>
      </w:r>
      <w:r w:rsidR="00CF56D9" w:rsidRPr="007608F7">
        <w:rPr>
          <w:sz w:val="28"/>
          <w:szCs w:val="28"/>
        </w:rPr>
        <w:t>комитета экономического развития а</w:t>
      </w:r>
      <w:r w:rsidRPr="007608F7">
        <w:rPr>
          <w:sz w:val="28"/>
          <w:szCs w:val="28"/>
        </w:rPr>
        <w:t xml:space="preserve">дминистрации города исходя из </w:t>
      </w:r>
      <w:r w:rsidR="00D86C2B" w:rsidRPr="007608F7">
        <w:rPr>
          <w:sz w:val="28"/>
          <w:szCs w:val="28"/>
        </w:rPr>
        <w:t>усреднения поступлений за три предшествующих года</w:t>
      </w:r>
      <w:r w:rsidRPr="007608F7">
        <w:rPr>
          <w:sz w:val="28"/>
          <w:szCs w:val="28"/>
        </w:rPr>
        <w:t>.</w:t>
      </w:r>
    </w:p>
    <w:p w14:paraId="4084CCAB" w14:textId="05FC5F47" w:rsidR="00F30636" w:rsidRPr="007608F7" w:rsidRDefault="0072625C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поступлений на </w:t>
      </w:r>
      <w:r w:rsidR="00DE0A2B" w:rsidRPr="007608F7">
        <w:rPr>
          <w:sz w:val="28"/>
          <w:szCs w:val="28"/>
        </w:rPr>
        <w:t>2024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 прогнозируется в размере </w:t>
      </w:r>
      <w:r w:rsidR="002F7D45" w:rsidRPr="007608F7">
        <w:rPr>
          <w:sz w:val="28"/>
          <w:szCs w:val="28"/>
        </w:rPr>
        <w:t>6 081 976,90</w:t>
      </w:r>
      <w:r w:rsidR="00EC77EE" w:rsidRPr="007608F7">
        <w:rPr>
          <w:sz w:val="28"/>
          <w:szCs w:val="28"/>
        </w:rPr>
        <w:t xml:space="preserve"> </w:t>
      </w:r>
      <w:r w:rsidR="005A06EA" w:rsidRPr="007608F7">
        <w:rPr>
          <w:sz w:val="28"/>
          <w:szCs w:val="28"/>
        </w:rPr>
        <w:t>рубл</w:t>
      </w:r>
      <w:r w:rsidR="00EC77EE" w:rsidRPr="007608F7">
        <w:rPr>
          <w:sz w:val="28"/>
          <w:szCs w:val="28"/>
        </w:rPr>
        <w:t>я</w:t>
      </w:r>
      <w:r w:rsidRPr="007608F7">
        <w:rPr>
          <w:sz w:val="28"/>
          <w:szCs w:val="28"/>
        </w:rPr>
        <w:t xml:space="preserve">, что на </w:t>
      </w:r>
      <w:r w:rsidR="002F7D45" w:rsidRPr="007608F7">
        <w:rPr>
          <w:sz w:val="28"/>
          <w:szCs w:val="28"/>
        </w:rPr>
        <w:t>3,94</w:t>
      </w:r>
      <w:r w:rsidR="003B3398" w:rsidRPr="007608F7">
        <w:rPr>
          <w:sz w:val="28"/>
          <w:szCs w:val="28"/>
        </w:rPr>
        <w:t>%</w:t>
      </w:r>
      <w:r w:rsidRPr="007608F7">
        <w:rPr>
          <w:sz w:val="28"/>
          <w:szCs w:val="28"/>
        </w:rPr>
        <w:t xml:space="preserve"> </w:t>
      </w:r>
      <w:r w:rsidR="002F7D45" w:rsidRPr="007608F7">
        <w:rPr>
          <w:sz w:val="28"/>
          <w:szCs w:val="28"/>
        </w:rPr>
        <w:t>выше</w:t>
      </w:r>
      <w:r w:rsidRPr="007608F7">
        <w:rPr>
          <w:sz w:val="28"/>
          <w:szCs w:val="28"/>
        </w:rPr>
        <w:t xml:space="preserve"> ожидаемых поступлений на </w:t>
      </w:r>
      <w:r w:rsidR="0091784C" w:rsidRPr="007608F7">
        <w:rPr>
          <w:sz w:val="28"/>
          <w:szCs w:val="28"/>
        </w:rPr>
        <w:t>202</w:t>
      </w:r>
      <w:r w:rsidR="002F7D45" w:rsidRPr="007608F7">
        <w:rPr>
          <w:sz w:val="28"/>
          <w:szCs w:val="28"/>
        </w:rPr>
        <w:t>3</w:t>
      </w:r>
      <w:r w:rsidR="009004F7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 xml:space="preserve">год, </w:t>
      </w:r>
      <w:r w:rsidR="00CF56D9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="00CF56D9" w:rsidRPr="007608F7">
        <w:rPr>
          <w:sz w:val="28"/>
          <w:szCs w:val="28"/>
        </w:rPr>
        <w:t xml:space="preserve"> год – </w:t>
      </w:r>
      <w:r w:rsidR="002F7D45" w:rsidRPr="007608F7">
        <w:rPr>
          <w:sz w:val="28"/>
          <w:szCs w:val="28"/>
        </w:rPr>
        <w:t>5 458 123,19</w:t>
      </w:r>
      <w:r w:rsidR="003B3398" w:rsidRPr="007608F7">
        <w:rPr>
          <w:sz w:val="28"/>
          <w:szCs w:val="28"/>
        </w:rPr>
        <w:t> </w:t>
      </w:r>
      <w:r w:rsidR="005A06EA" w:rsidRPr="007608F7">
        <w:rPr>
          <w:sz w:val="28"/>
          <w:szCs w:val="28"/>
        </w:rPr>
        <w:t>рубл</w:t>
      </w:r>
      <w:r w:rsidR="00410B6E" w:rsidRPr="007608F7">
        <w:rPr>
          <w:sz w:val="28"/>
          <w:szCs w:val="28"/>
        </w:rPr>
        <w:t>я</w:t>
      </w:r>
      <w:r w:rsidR="00CF56D9" w:rsidRPr="007608F7">
        <w:rPr>
          <w:sz w:val="28"/>
          <w:szCs w:val="28"/>
        </w:rPr>
        <w:t xml:space="preserve">, что на </w:t>
      </w:r>
      <w:r w:rsidR="002F7D45" w:rsidRPr="007608F7">
        <w:rPr>
          <w:sz w:val="28"/>
          <w:szCs w:val="28"/>
        </w:rPr>
        <w:t>6,18</w:t>
      </w:r>
      <w:r w:rsidR="00410B6E" w:rsidRPr="007608F7">
        <w:rPr>
          <w:sz w:val="28"/>
          <w:szCs w:val="28"/>
        </w:rPr>
        <w:t>%</w:t>
      </w:r>
      <w:r w:rsidR="00CF56D9" w:rsidRPr="007608F7">
        <w:rPr>
          <w:sz w:val="28"/>
          <w:szCs w:val="28"/>
        </w:rPr>
        <w:t xml:space="preserve"> выше прогнозируемого поступления </w:t>
      </w:r>
      <w:r w:rsidR="00DE0A2B" w:rsidRPr="007608F7">
        <w:rPr>
          <w:sz w:val="28"/>
          <w:szCs w:val="28"/>
        </w:rPr>
        <w:t>2024</w:t>
      </w:r>
      <w:r w:rsidR="00CF56D9" w:rsidRPr="007608F7">
        <w:rPr>
          <w:sz w:val="28"/>
          <w:szCs w:val="28"/>
        </w:rPr>
        <w:t xml:space="preserve"> года, в </w:t>
      </w:r>
      <w:r w:rsidR="00DE0A2B" w:rsidRPr="007608F7">
        <w:rPr>
          <w:sz w:val="28"/>
          <w:szCs w:val="28"/>
        </w:rPr>
        <w:t>2026</w:t>
      </w:r>
      <w:r w:rsidR="009004F7" w:rsidRPr="007608F7">
        <w:rPr>
          <w:sz w:val="28"/>
          <w:szCs w:val="28"/>
        </w:rPr>
        <w:t> </w:t>
      </w:r>
      <w:r w:rsidR="00CF56D9" w:rsidRPr="007608F7">
        <w:rPr>
          <w:sz w:val="28"/>
          <w:szCs w:val="28"/>
        </w:rPr>
        <w:t xml:space="preserve">году – </w:t>
      </w:r>
      <w:r w:rsidR="002F7D45" w:rsidRPr="007608F7">
        <w:rPr>
          <w:sz w:val="28"/>
          <w:szCs w:val="28"/>
        </w:rPr>
        <w:t>6 716 448,13</w:t>
      </w:r>
      <w:r w:rsidR="005A06EA" w:rsidRPr="007608F7">
        <w:rPr>
          <w:sz w:val="28"/>
          <w:szCs w:val="28"/>
        </w:rPr>
        <w:t xml:space="preserve"> рубл</w:t>
      </w:r>
      <w:r w:rsidR="00410B6E" w:rsidRPr="007608F7">
        <w:rPr>
          <w:sz w:val="28"/>
          <w:szCs w:val="28"/>
        </w:rPr>
        <w:t>я</w:t>
      </w:r>
      <w:r w:rsidR="00CF56D9" w:rsidRPr="007608F7">
        <w:rPr>
          <w:sz w:val="28"/>
          <w:szCs w:val="28"/>
        </w:rPr>
        <w:t xml:space="preserve">, что на </w:t>
      </w:r>
      <w:r w:rsidR="002F7D45" w:rsidRPr="007608F7">
        <w:rPr>
          <w:sz w:val="28"/>
          <w:szCs w:val="28"/>
        </w:rPr>
        <w:t>4</w:t>
      </w:r>
      <w:r w:rsidR="00CF56D9" w:rsidRPr="007608F7">
        <w:rPr>
          <w:sz w:val="28"/>
          <w:szCs w:val="28"/>
        </w:rPr>
        <w:t xml:space="preserve">% выше прогнозируемого поступления </w:t>
      </w:r>
      <w:r w:rsidR="00DE0A2B" w:rsidRPr="007608F7">
        <w:rPr>
          <w:sz w:val="28"/>
          <w:szCs w:val="28"/>
        </w:rPr>
        <w:t>2025</w:t>
      </w:r>
      <w:r w:rsidR="00CF56D9" w:rsidRPr="007608F7">
        <w:rPr>
          <w:sz w:val="28"/>
          <w:szCs w:val="28"/>
        </w:rPr>
        <w:t> года.</w:t>
      </w:r>
      <w:r w:rsidR="002F7D45" w:rsidRPr="007608F7">
        <w:rPr>
          <w:sz w:val="28"/>
          <w:szCs w:val="28"/>
        </w:rPr>
        <w:t xml:space="preserve"> Рост поступлений обусловлен </w:t>
      </w:r>
      <w:r w:rsidR="001D41C0" w:rsidRPr="007608F7">
        <w:rPr>
          <w:sz w:val="28"/>
          <w:szCs w:val="28"/>
        </w:rPr>
        <w:t>применением индекса потребительских цен на 2024 год.</w:t>
      </w:r>
    </w:p>
    <w:p w14:paraId="3DDFD6AC" w14:textId="77777777" w:rsidR="001D41C0" w:rsidRPr="007608F7" w:rsidRDefault="001D41C0" w:rsidP="00EB4484">
      <w:pPr>
        <w:widowControl w:val="0"/>
        <w:ind w:firstLine="720"/>
        <w:jc w:val="both"/>
        <w:rPr>
          <w:sz w:val="22"/>
          <w:szCs w:val="22"/>
        </w:rPr>
      </w:pPr>
    </w:p>
    <w:p w14:paraId="41AC9E5A" w14:textId="293ECE0F" w:rsidR="00595B10" w:rsidRPr="007608F7" w:rsidRDefault="00595B10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b/>
          <w:sz w:val="28"/>
          <w:szCs w:val="28"/>
        </w:rPr>
        <w:t xml:space="preserve">Прогноз поступлений доходов от использования и продажи муниципального имущества на </w:t>
      </w:r>
      <w:r w:rsidR="00DE0A2B" w:rsidRPr="007608F7">
        <w:rPr>
          <w:b/>
          <w:sz w:val="28"/>
          <w:szCs w:val="28"/>
        </w:rPr>
        <w:t>2024</w:t>
      </w:r>
      <w:r w:rsidRPr="007608F7">
        <w:rPr>
          <w:b/>
          <w:sz w:val="28"/>
          <w:szCs w:val="28"/>
        </w:rPr>
        <w:t xml:space="preserve"> год </w:t>
      </w:r>
      <w:r w:rsidR="00244C77" w:rsidRPr="007608F7">
        <w:rPr>
          <w:b/>
          <w:sz w:val="28"/>
          <w:szCs w:val="28"/>
        </w:rPr>
        <w:t xml:space="preserve">и плановый период </w:t>
      </w:r>
      <w:r w:rsidR="00DE0A2B" w:rsidRPr="007608F7">
        <w:rPr>
          <w:b/>
          <w:sz w:val="28"/>
          <w:szCs w:val="28"/>
        </w:rPr>
        <w:t>2025</w:t>
      </w:r>
      <w:r w:rsidR="00CB435D" w:rsidRPr="007608F7">
        <w:rPr>
          <w:b/>
          <w:sz w:val="28"/>
          <w:szCs w:val="28"/>
        </w:rPr>
        <w:t>-</w:t>
      </w:r>
      <w:r w:rsidR="00DE0A2B" w:rsidRPr="007608F7">
        <w:rPr>
          <w:b/>
          <w:sz w:val="28"/>
          <w:szCs w:val="28"/>
        </w:rPr>
        <w:t>2026</w:t>
      </w:r>
      <w:r w:rsidR="009004F7" w:rsidRPr="007608F7">
        <w:rPr>
          <w:b/>
          <w:sz w:val="28"/>
          <w:szCs w:val="28"/>
        </w:rPr>
        <w:t> </w:t>
      </w:r>
      <w:r w:rsidR="00244C77" w:rsidRPr="007608F7">
        <w:rPr>
          <w:b/>
          <w:sz w:val="28"/>
          <w:szCs w:val="28"/>
        </w:rPr>
        <w:t>годов</w:t>
      </w:r>
      <w:r w:rsidR="00244C77" w:rsidRPr="007608F7">
        <w:rPr>
          <w:sz w:val="28"/>
          <w:szCs w:val="28"/>
        </w:rPr>
        <w:t xml:space="preserve"> </w:t>
      </w:r>
      <w:r w:rsidRPr="007608F7">
        <w:rPr>
          <w:sz w:val="28"/>
          <w:szCs w:val="28"/>
        </w:rPr>
        <w:t>соответствует данным главного администратора доходов – Комитета по управлению муниципальным имуществом администрации города Усолье-Сибирское, а именно:</w:t>
      </w:r>
    </w:p>
    <w:p w14:paraId="1643C18F" w14:textId="2C211F52" w:rsidR="00B01F8C" w:rsidRPr="007608F7" w:rsidRDefault="00DB649D" w:rsidP="00EB4484">
      <w:pPr>
        <w:widowControl w:val="0"/>
        <w:numPr>
          <w:ilvl w:val="1"/>
          <w:numId w:val="14"/>
        </w:numPr>
        <w:tabs>
          <w:tab w:val="clear" w:pos="10620"/>
          <w:tab w:val="num" w:pos="1080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Д</w:t>
      </w:r>
      <w:r w:rsidR="00595B10" w:rsidRPr="007608F7">
        <w:rPr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</w:t>
      </w:r>
      <w:r w:rsidR="00E91893" w:rsidRPr="007608F7">
        <w:rPr>
          <w:sz w:val="28"/>
          <w:szCs w:val="28"/>
        </w:rPr>
        <w:t xml:space="preserve">ы указанных земельных участков </w:t>
      </w:r>
      <w:r w:rsidR="006602F5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9C4511" w:rsidRPr="007608F7">
        <w:rPr>
          <w:sz w:val="28"/>
          <w:szCs w:val="28"/>
        </w:rPr>
        <w:t> </w:t>
      </w:r>
      <w:r w:rsidR="00ED50EF" w:rsidRPr="007608F7">
        <w:rPr>
          <w:sz w:val="28"/>
          <w:szCs w:val="28"/>
        </w:rPr>
        <w:t xml:space="preserve">год </w:t>
      </w:r>
      <w:r w:rsidR="00B01F8C" w:rsidRPr="007608F7">
        <w:rPr>
          <w:sz w:val="28"/>
          <w:szCs w:val="28"/>
        </w:rPr>
        <w:t>прогнозиру</w:t>
      </w:r>
      <w:r w:rsidR="00ED50EF" w:rsidRPr="007608F7">
        <w:rPr>
          <w:sz w:val="28"/>
          <w:szCs w:val="28"/>
        </w:rPr>
        <w:t>ются</w:t>
      </w:r>
      <w:r w:rsidR="00B01F8C" w:rsidRPr="007608F7">
        <w:rPr>
          <w:sz w:val="28"/>
          <w:szCs w:val="28"/>
        </w:rPr>
        <w:t xml:space="preserve"> в размере </w:t>
      </w:r>
      <w:r w:rsidR="002F7D45" w:rsidRPr="007608F7">
        <w:rPr>
          <w:sz w:val="28"/>
          <w:szCs w:val="28"/>
        </w:rPr>
        <w:t>27 609 573,24</w:t>
      </w:r>
      <w:r w:rsidR="00B01F8C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3E182F" w:rsidRPr="007608F7">
        <w:rPr>
          <w:sz w:val="28"/>
          <w:szCs w:val="28"/>
        </w:rPr>
        <w:t xml:space="preserve">, </w:t>
      </w:r>
      <w:r w:rsidR="00B01F8C" w:rsidRPr="007608F7">
        <w:rPr>
          <w:sz w:val="28"/>
          <w:szCs w:val="28"/>
        </w:rPr>
        <w:t xml:space="preserve">что на </w:t>
      </w:r>
      <w:r w:rsidR="002F7D45" w:rsidRPr="007608F7">
        <w:rPr>
          <w:sz w:val="28"/>
          <w:szCs w:val="28"/>
        </w:rPr>
        <w:t>11,14</w:t>
      </w:r>
      <w:r w:rsidR="00203612" w:rsidRPr="007608F7">
        <w:rPr>
          <w:sz w:val="28"/>
          <w:szCs w:val="28"/>
        </w:rPr>
        <w:t>%</w:t>
      </w:r>
      <w:r w:rsidR="002F7D45" w:rsidRPr="007608F7">
        <w:rPr>
          <w:sz w:val="28"/>
          <w:szCs w:val="28"/>
        </w:rPr>
        <w:t xml:space="preserve"> ниже</w:t>
      </w:r>
      <w:r w:rsidR="00ED50EF" w:rsidRPr="007608F7">
        <w:rPr>
          <w:sz w:val="28"/>
          <w:szCs w:val="28"/>
        </w:rPr>
        <w:t xml:space="preserve"> ожидаемого поступления </w:t>
      </w:r>
      <w:r w:rsidR="0091784C" w:rsidRPr="007608F7">
        <w:rPr>
          <w:sz w:val="28"/>
          <w:szCs w:val="28"/>
        </w:rPr>
        <w:t>202</w:t>
      </w:r>
      <w:r w:rsidR="002F7D45" w:rsidRPr="007608F7">
        <w:rPr>
          <w:sz w:val="28"/>
          <w:szCs w:val="28"/>
        </w:rPr>
        <w:t>3</w:t>
      </w:r>
      <w:r w:rsidR="00ED50EF" w:rsidRPr="007608F7">
        <w:rPr>
          <w:sz w:val="28"/>
          <w:szCs w:val="28"/>
        </w:rPr>
        <w:t> </w:t>
      </w:r>
      <w:r w:rsidR="00B01F8C" w:rsidRPr="007608F7">
        <w:rPr>
          <w:sz w:val="28"/>
          <w:szCs w:val="28"/>
        </w:rPr>
        <w:t xml:space="preserve">года, </w:t>
      </w:r>
      <w:r w:rsidR="00EB4B62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="001420AD" w:rsidRPr="007608F7">
        <w:rPr>
          <w:sz w:val="28"/>
          <w:szCs w:val="28"/>
        </w:rPr>
        <w:t xml:space="preserve"> </w:t>
      </w:r>
      <w:r w:rsidR="002F7D45" w:rsidRPr="007608F7">
        <w:rPr>
          <w:sz w:val="28"/>
          <w:szCs w:val="28"/>
        </w:rPr>
        <w:t>и</w:t>
      </w:r>
      <w:r w:rsidR="001420AD"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2026</w:t>
      </w:r>
      <w:r w:rsidR="003E6492" w:rsidRPr="007608F7">
        <w:rPr>
          <w:sz w:val="28"/>
          <w:szCs w:val="28"/>
        </w:rPr>
        <w:t xml:space="preserve"> год</w:t>
      </w:r>
      <w:r w:rsidR="001420AD" w:rsidRPr="007608F7">
        <w:rPr>
          <w:sz w:val="28"/>
          <w:szCs w:val="28"/>
        </w:rPr>
        <w:t>ы</w:t>
      </w:r>
      <w:r w:rsidR="003E6492" w:rsidRPr="007608F7">
        <w:rPr>
          <w:sz w:val="28"/>
          <w:szCs w:val="28"/>
        </w:rPr>
        <w:t xml:space="preserve"> </w:t>
      </w:r>
      <w:r w:rsidR="001420AD" w:rsidRPr="007608F7">
        <w:rPr>
          <w:sz w:val="28"/>
          <w:szCs w:val="28"/>
        </w:rPr>
        <w:t>–</w:t>
      </w:r>
      <w:r w:rsidR="00F6106B" w:rsidRPr="007608F7">
        <w:rPr>
          <w:sz w:val="28"/>
          <w:szCs w:val="28"/>
        </w:rPr>
        <w:t xml:space="preserve"> </w:t>
      </w:r>
      <w:r w:rsidR="001420AD" w:rsidRPr="007608F7">
        <w:rPr>
          <w:sz w:val="28"/>
          <w:szCs w:val="28"/>
        </w:rPr>
        <w:t xml:space="preserve">по </w:t>
      </w:r>
      <w:r w:rsidR="002F7D45" w:rsidRPr="007608F7">
        <w:rPr>
          <w:sz w:val="28"/>
          <w:szCs w:val="28"/>
        </w:rPr>
        <w:t>26 955 200,07 и 26 911 575,19</w:t>
      </w:r>
      <w:r w:rsidR="001F2AB7" w:rsidRPr="007608F7">
        <w:rPr>
          <w:sz w:val="28"/>
          <w:szCs w:val="28"/>
        </w:rPr>
        <w:t xml:space="preserve"> рубля соответственно</w:t>
      </w:r>
      <w:r w:rsidR="001420AD" w:rsidRPr="007608F7">
        <w:rPr>
          <w:sz w:val="28"/>
          <w:szCs w:val="28"/>
        </w:rPr>
        <w:t>.</w:t>
      </w:r>
    </w:p>
    <w:p w14:paraId="40653CC7" w14:textId="14A2703B" w:rsidR="00AF0CA0" w:rsidRPr="007608F7" w:rsidRDefault="00593855" w:rsidP="00EB4484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</w:t>
      </w:r>
      <w:r w:rsidR="00DB649D" w:rsidRPr="007608F7">
        <w:rPr>
          <w:sz w:val="28"/>
          <w:szCs w:val="28"/>
        </w:rPr>
        <w:t xml:space="preserve">рогноз </w:t>
      </w:r>
      <w:r w:rsidR="00DF3107" w:rsidRPr="007608F7">
        <w:rPr>
          <w:sz w:val="28"/>
          <w:szCs w:val="28"/>
        </w:rPr>
        <w:t xml:space="preserve">доходов от </w:t>
      </w:r>
      <w:r w:rsidR="00231003" w:rsidRPr="007608F7">
        <w:rPr>
          <w:sz w:val="28"/>
          <w:szCs w:val="28"/>
        </w:rPr>
        <w:t xml:space="preserve">арендной платы за земельные участки осуществлен исходя из </w:t>
      </w:r>
      <w:r w:rsidR="007E7219" w:rsidRPr="007608F7">
        <w:rPr>
          <w:sz w:val="28"/>
          <w:szCs w:val="28"/>
        </w:rPr>
        <w:t xml:space="preserve">ожидаемого объема </w:t>
      </w:r>
      <w:r w:rsidR="00B9194E" w:rsidRPr="007608F7">
        <w:rPr>
          <w:sz w:val="28"/>
          <w:szCs w:val="28"/>
        </w:rPr>
        <w:t xml:space="preserve">начислений </w:t>
      </w:r>
      <w:r w:rsidR="007E7219" w:rsidRPr="007608F7">
        <w:rPr>
          <w:sz w:val="28"/>
          <w:szCs w:val="28"/>
        </w:rPr>
        <w:t xml:space="preserve">по </w:t>
      </w:r>
      <w:r w:rsidR="00231003" w:rsidRPr="007608F7">
        <w:rPr>
          <w:sz w:val="28"/>
          <w:szCs w:val="28"/>
        </w:rPr>
        <w:t>действующи</w:t>
      </w:r>
      <w:r w:rsidR="007E7219" w:rsidRPr="007608F7">
        <w:rPr>
          <w:sz w:val="28"/>
          <w:szCs w:val="28"/>
        </w:rPr>
        <w:t>м</w:t>
      </w:r>
      <w:r w:rsidR="00231003" w:rsidRPr="007608F7">
        <w:rPr>
          <w:sz w:val="28"/>
          <w:szCs w:val="28"/>
        </w:rPr>
        <w:t xml:space="preserve"> договор</w:t>
      </w:r>
      <w:r w:rsidR="007E7219" w:rsidRPr="007608F7">
        <w:rPr>
          <w:sz w:val="28"/>
          <w:szCs w:val="28"/>
        </w:rPr>
        <w:t>ам</w:t>
      </w:r>
      <w:r w:rsidR="00231003" w:rsidRPr="007608F7">
        <w:rPr>
          <w:sz w:val="28"/>
          <w:szCs w:val="28"/>
        </w:rPr>
        <w:t xml:space="preserve"> аренды </w:t>
      </w:r>
      <w:r w:rsidR="007E7219" w:rsidRPr="007608F7">
        <w:rPr>
          <w:sz w:val="28"/>
          <w:szCs w:val="28"/>
        </w:rPr>
        <w:t xml:space="preserve">в разрезе видов разрешенного использования земельных участков, </w:t>
      </w:r>
      <w:r w:rsidR="00231003" w:rsidRPr="007608F7">
        <w:rPr>
          <w:sz w:val="28"/>
          <w:szCs w:val="28"/>
        </w:rPr>
        <w:t xml:space="preserve">с учетом </w:t>
      </w:r>
      <w:r w:rsidR="001308BC" w:rsidRPr="007608F7">
        <w:rPr>
          <w:sz w:val="28"/>
          <w:szCs w:val="28"/>
        </w:rPr>
        <w:t xml:space="preserve">собираемости </w:t>
      </w:r>
      <w:r w:rsidR="00AF0CA0" w:rsidRPr="007608F7">
        <w:rPr>
          <w:sz w:val="28"/>
          <w:szCs w:val="28"/>
        </w:rPr>
        <w:t>данного вида доходов</w:t>
      </w:r>
      <w:r w:rsidR="00845252" w:rsidRPr="007608F7">
        <w:rPr>
          <w:sz w:val="28"/>
          <w:szCs w:val="28"/>
        </w:rPr>
        <w:t xml:space="preserve"> и индекса потребительских цен</w:t>
      </w:r>
      <w:r w:rsidR="002032D3" w:rsidRPr="007608F7">
        <w:rPr>
          <w:sz w:val="28"/>
          <w:szCs w:val="28"/>
        </w:rPr>
        <w:t>, а также планируемого объема доходов от продажи права аренды земельных участков</w:t>
      </w:r>
      <w:r w:rsidR="008B4D2F" w:rsidRPr="007608F7">
        <w:rPr>
          <w:sz w:val="28"/>
          <w:szCs w:val="28"/>
        </w:rPr>
        <w:t>.</w:t>
      </w:r>
      <w:r w:rsidR="00913283" w:rsidRPr="007608F7">
        <w:rPr>
          <w:sz w:val="28"/>
          <w:szCs w:val="28"/>
        </w:rPr>
        <w:t xml:space="preserve"> Снижение доходов</w:t>
      </w:r>
      <w:r w:rsidR="002F7D45" w:rsidRPr="007608F7">
        <w:rPr>
          <w:sz w:val="28"/>
          <w:szCs w:val="28"/>
        </w:rPr>
        <w:t xml:space="preserve"> </w:t>
      </w:r>
      <w:r w:rsidR="00913283" w:rsidRPr="007608F7">
        <w:rPr>
          <w:sz w:val="28"/>
          <w:szCs w:val="28"/>
        </w:rPr>
        <w:t>связано с пересмотром кадастровой стоимост</w:t>
      </w:r>
      <w:r w:rsidR="002F7D45" w:rsidRPr="007608F7">
        <w:rPr>
          <w:sz w:val="28"/>
          <w:szCs w:val="28"/>
        </w:rPr>
        <w:t xml:space="preserve">и </w:t>
      </w:r>
      <w:r w:rsidR="00913283" w:rsidRPr="007608F7">
        <w:rPr>
          <w:sz w:val="28"/>
          <w:szCs w:val="28"/>
        </w:rPr>
        <w:t>в сторону уменьшения ООО</w:t>
      </w:r>
      <w:r w:rsidR="002F7D45" w:rsidRPr="007608F7">
        <w:rPr>
          <w:sz w:val="28"/>
          <w:szCs w:val="28"/>
        </w:rPr>
        <w:t> </w:t>
      </w:r>
      <w:r w:rsidR="00913283" w:rsidRPr="007608F7">
        <w:rPr>
          <w:sz w:val="28"/>
          <w:szCs w:val="28"/>
        </w:rPr>
        <w:t>«БЭК», ООО</w:t>
      </w:r>
      <w:r w:rsidR="00720328" w:rsidRPr="007608F7">
        <w:rPr>
          <w:sz w:val="28"/>
          <w:szCs w:val="28"/>
        </w:rPr>
        <w:t> </w:t>
      </w:r>
      <w:r w:rsidR="00913283" w:rsidRPr="007608F7">
        <w:rPr>
          <w:sz w:val="28"/>
          <w:szCs w:val="28"/>
        </w:rPr>
        <w:t>«Аквасервис».</w:t>
      </w:r>
    </w:p>
    <w:p w14:paraId="5EAEEFDC" w14:textId="591597C6" w:rsidR="001308BC" w:rsidRPr="007608F7" w:rsidRDefault="0072072A" w:rsidP="00EB4484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Д</w:t>
      </w:r>
      <w:r w:rsidR="00595B10" w:rsidRPr="007608F7">
        <w:rPr>
          <w:sz w:val="28"/>
          <w:szCs w:val="28"/>
        </w:rPr>
        <w:t>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342032" w:rsidRPr="007608F7">
        <w:rPr>
          <w:sz w:val="28"/>
          <w:szCs w:val="28"/>
        </w:rPr>
        <w:t>,</w:t>
      </w:r>
      <w:r w:rsidR="00595B10" w:rsidRPr="007608F7">
        <w:rPr>
          <w:sz w:val="28"/>
          <w:szCs w:val="28"/>
        </w:rPr>
        <w:t xml:space="preserve"> </w:t>
      </w:r>
      <w:r w:rsidR="00342032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1F2AB7" w:rsidRPr="007608F7">
        <w:rPr>
          <w:sz w:val="28"/>
          <w:szCs w:val="28"/>
        </w:rPr>
        <w:t xml:space="preserve"> г</w:t>
      </w:r>
      <w:r w:rsidR="00433E27" w:rsidRPr="007608F7">
        <w:rPr>
          <w:sz w:val="28"/>
          <w:szCs w:val="28"/>
        </w:rPr>
        <w:t xml:space="preserve">од </w:t>
      </w:r>
      <w:r w:rsidR="001F2AB7" w:rsidRPr="007608F7">
        <w:rPr>
          <w:sz w:val="28"/>
          <w:szCs w:val="28"/>
        </w:rPr>
        <w:t xml:space="preserve">спрогнозированы в размере </w:t>
      </w:r>
      <w:r w:rsidR="008768DB" w:rsidRPr="007608F7">
        <w:rPr>
          <w:sz w:val="28"/>
          <w:szCs w:val="28"/>
        </w:rPr>
        <w:t>316 500,00</w:t>
      </w:r>
      <w:r w:rsidR="00843B54" w:rsidRPr="007608F7">
        <w:rPr>
          <w:sz w:val="28"/>
          <w:szCs w:val="28"/>
        </w:rPr>
        <w:t xml:space="preserve"> рублей, что на </w:t>
      </w:r>
      <w:r w:rsidR="008768DB" w:rsidRPr="007608F7">
        <w:rPr>
          <w:sz w:val="28"/>
          <w:szCs w:val="28"/>
        </w:rPr>
        <w:t>47,87</w:t>
      </w:r>
      <w:r w:rsidR="00843B54" w:rsidRPr="007608F7">
        <w:rPr>
          <w:sz w:val="28"/>
          <w:szCs w:val="28"/>
        </w:rPr>
        <w:t>% ниже ожидаемого поступления 202</w:t>
      </w:r>
      <w:r w:rsidR="008768DB" w:rsidRPr="007608F7">
        <w:rPr>
          <w:sz w:val="28"/>
          <w:szCs w:val="28"/>
        </w:rPr>
        <w:t>3</w:t>
      </w:r>
      <w:r w:rsidR="00843B54" w:rsidRPr="007608F7">
        <w:rPr>
          <w:sz w:val="28"/>
          <w:szCs w:val="28"/>
        </w:rPr>
        <w:t xml:space="preserve"> года, на </w:t>
      </w:r>
      <w:r w:rsidR="00DE0A2B" w:rsidRPr="007608F7">
        <w:rPr>
          <w:sz w:val="28"/>
          <w:szCs w:val="28"/>
        </w:rPr>
        <w:t>2025</w:t>
      </w:r>
      <w:r w:rsidR="00843B54" w:rsidRPr="007608F7">
        <w:rPr>
          <w:sz w:val="28"/>
          <w:szCs w:val="28"/>
        </w:rPr>
        <w:t xml:space="preserve"> - </w:t>
      </w:r>
      <w:r w:rsidR="00DE0A2B" w:rsidRPr="007608F7">
        <w:rPr>
          <w:sz w:val="28"/>
          <w:szCs w:val="28"/>
        </w:rPr>
        <w:t>2026</w:t>
      </w:r>
      <w:r w:rsidR="00843B54" w:rsidRPr="007608F7">
        <w:rPr>
          <w:sz w:val="28"/>
          <w:szCs w:val="28"/>
        </w:rPr>
        <w:t xml:space="preserve"> годы – по </w:t>
      </w:r>
      <w:r w:rsidR="008768DB" w:rsidRPr="007608F7">
        <w:rPr>
          <w:sz w:val="28"/>
          <w:szCs w:val="28"/>
        </w:rPr>
        <w:t>240</w:t>
      </w:r>
      <w:r w:rsidR="00843B54" w:rsidRPr="007608F7">
        <w:rPr>
          <w:sz w:val="28"/>
          <w:szCs w:val="28"/>
        </w:rPr>
        <w:t> 000,00 рублей ежегодно</w:t>
      </w:r>
      <w:r w:rsidR="001F2AB7" w:rsidRPr="007608F7">
        <w:rPr>
          <w:sz w:val="28"/>
          <w:szCs w:val="28"/>
        </w:rPr>
        <w:t xml:space="preserve"> на основании </w:t>
      </w:r>
      <w:r w:rsidR="0071493B" w:rsidRPr="007608F7">
        <w:rPr>
          <w:sz w:val="28"/>
          <w:szCs w:val="28"/>
        </w:rPr>
        <w:t>прогнозируемого получения прибыли МУП «Столовая №7»</w:t>
      </w:r>
      <w:r w:rsidR="00913283" w:rsidRPr="007608F7">
        <w:rPr>
          <w:sz w:val="28"/>
          <w:szCs w:val="28"/>
        </w:rPr>
        <w:t xml:space="preserve"> и МУП ПО «Электроавтотранс»</w:t>
      </w:r>
      <w:r w:rsidR="0071493B" w:rsidRPr="007608F7">
        <w:rPr>
          <w:sz w:val="28"/>
          <w:szCs w:val="28"/>
        </w:rPr>
        <w:t>.</w:t>
      </w:r>
    </w:p>
    <w:p w14:paraId="7834B744" w14:textId="3F4660B9" w:rsidR="00874D7A" w:rsidRPr="007608F7" w:rsidRDefault="0072072A" w:rsidP="00EB4484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</w:t>
      </w:r>
      <w:r w:rsidR="00595B10" w:rsidRPr="007608F7">
        <w:rPr>
          <w:sz w:val="28"/>
          <w:szCs w:val="28"/>
        </w:rPr>
        <w:t xml:space="preserve">рочие поступления от использования имущества, находящегося в собственности городских округов </w:t>
      </w:r>
      <w:r w:rsidR="00CA3932" w:rsidRPr="007608F7">
        <w:rPr>
          <w:sz w:val="28"/>
          <w:szCs w:val="28"/>
        </w:rPr>
        <w:t xml:space="preserve">прогнозируются </w:t>
      </w:r>
      <w:r w:rsidR="00433E27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E97F85" w:rsidRPr="007608F7">
        <w:rPr>
          <w:sz w:val="28"/>
          <w:szCs w:val="28"/>
        </w:rPr>
        <w:t> </w:t>
      </w:r>
      <w:r w:rsidR="00433E27" w:rsidRPr="007608F7">
        <w:rPr>
          <w:sz w:val="28"/>
          <w:szCs w:val="28"/>
        </w:rPr>
        <w:t xml:space="preserve">год </w:t>
      </w:r>
      <w:r w:rsidR="00CA3932" w:rsidRPr="007608F7">
        <w:rPr>
          <w:sz w:val="28"/>
          <w:szCs w:val="28"/>
        </w:rPr>
        <w:t>в размере</w:t>
      </w:r>
      <w:r w:rsidR="00595B10" w:rsidRPr="007608F7">
        <w:rPr>
          <w:sz w:val="28"/>
          <w:szCs w:val="28"/>
        </w:rPr>
        <w:t xml:space="preserve"> </w:t>
      </w:r>
      <w:r w:rsidR="00490190" w:rsidRPr="007608F7">
        <w:rPr>
          <w:sz w:val="28"/>
          <w:szCs w:val="28"/>
        </w:rPr>
        <w:t>16 429 550,57</w:t>
      </w:r>
      <w:r w:rsidR="0071514F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B15AA4" w:rsidRPr="007608F7">
        <w:rPr>
          <w:sz w:val="28"/>
          <w:szCs w:val="28"/>
        </w:rPr>
        <w:t>,</w:t>
      </w:r>
      <w:r w:rsidR="00595B10" w:rsidRPr="007608F7">
        <w:rPr>
          <w:sz w:val="28"/>
          <w:szCs w:val="28"/>
        </w:rPr>
        <w:t xml:space="preserve"> что</w:t>
      </w:r>
      <w:r w:rsidR="008A7D38" w:rsidRPr="007608F7">
        <w:rPr>
          <w:sz w:val="28"/>
          <w:szCs w:val="28"/>
        </w:rPr>
        <w:t xml:space="preserve"> </w:t>
      </w:r>
      <w:r w:rsidR="007C010F" w:rsidRPr="007608F7">
        <w:rPr>
          <w:sz w:val="28"/>
          <w:szCs w:val="28"/>
        </w:rPr>
        <w:t xml:space="preserve">на </w:t>
      </w:r>
      <w:r w:rsidR="00490190" w:rsidRPr="007608F7">
        <w:rPr>
          <w:sz w:val="28"/>
          <w:szCs w:val="28"/>
        </w:rPr>
        <w:t>23,55</w:t>
      </w:r>
      <w:r w:rsidR="00595B10" w:rsidRPr="007608F7">
        <w:rPr>
          <w:sz w:val="28"/>
          <w:szCs w:val="28"/>
        </w:rPr>
        <w:t xml:space="preserve">% </w:t>
      </w:r>
      <w:r w:rsidR="00843B54" w:rsidRPr="007608F7">
        <w:rPr>
          <w:sz w:val="28"/>
          <w:szCs w:val="28"/>
        </w:rPr>
        <w:t>ниже</w:t>
      </w:r>
      <w:r w:rsidR="00595B10" w:rsidRPr="007608F7">
        <w:rPr>
          <w:sz w:val="28"/>
          <w:szCs w:val="28"/>
        </w:rPr>
        <w:t xml:space="preserve"> ожидаемых поступлений </w:t>
      </w:r>
      <w:r w:rsidR="0091784C" w:rsidRPr="007608F7">
        <w:rPr>
          <w:sz w:val="28"/>
          <w:szCs w:val="28"/>
        </w:rPr>
        <w:t>202</w:t>
      </w:r>
      <w:r w:rsidR="00490190" w:rsidRPr="007608F7">
        <w:rPr>
          <w:sz w:val="28"/>
          <w:szCs w:val="28"/>
        </w:rPr>
        <w:t>3</w:t>
      </w:r>
      <w:r w:rsidR="00E97F85" w:rsidRPr="007608F7">
        <w:rPr>
          <w:sz w:val="28"/>
          <w:szCs w:val="28"/>
        </w:rPr>
        <w:t> </w:t>
      </w:r>
      <w:r w:rsidR="00595B10" w:rsidRPr="007608F7">
        <w:rPr>
          <w:sz w:val="28"/>
          <w:szCs w:val="28"/>
        </w:rPr>
        <w:t>года</w:t>
      </w:r>
      <w:r w:rsidR="0071514F" w:rsidRPr="007608F7">
        <w:rPr>
          <w:sz w:val="28"/>
          <w:szCs w:val="28"/>
        </w:rPr>
        <w:t xml:space="preserve">, на </w:t>
      </w:r>
      <w:r w:rsidR="00DE0A2B" w:rsidRPr="007608F7">
        <w:rPr>
          <w:sz w:val="28"/>
          <w:szCs w:val="28"/>
        </w:rPr>
        <w:t>202</w:t>
      </w:r>
      <w:r w:rsidR="00490190" w:rsidRPr="007608F7">
        <w:rPr>
          <w:sz w:val="28"/>
          <w:szCs w:val="28"/>
        </w:rPr>
        <w:t>5 год – 15 988 197,97</w:t>
      </w:r>
      <w:r w:rsidR="00AB2AEA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433E27" w:rsidRPr="007608F7">
        <w:rPr>
          <w:sz w:val="28"/>
          <w:szCs w:val="28"/>
        </w:rPr>
        <w:t xml:space="preserve">, что на </w:t>
      </w:r>
      <w:r w:rsidR="00490190" w:rsidRPr="007608F7">
        <w:rPr>
          <w:sz w:val="28"/>
          <w:szCs w:val="28"/>
        </w:rPr>
        <w:t>2,69</w:t>
      </w:r>
      <w:r w:rsidR="00433E27" w:rsidRPr="007608F7">
        <w:rPr>
          <w:sz w:val="28"/>
          <w:szCs w:val="28"/>
        </w:rPr>
        <w:t xml:space="preserve">% </w:t>
      </w:r>
      <w:r w:rsidR="00417A44" w:rsidRPr="007608F7">
        <w:rPr>
          <w:sz w:val="28"/>
          <w:szCs w:val="28"/>
        </w:rPr>
        <w:t>ниже</w:t>
      </w:r>
      <w:r w:rsidR="00433E27" w:rsidRPr="007608F7">
        <w:rPr>
          <w:sz w:val="28"/>
          <w:szCs w:val="28"/>
        </w:rPr>
        <w:t xml:space="preserve"> </w:t>
      </w:r>
      <w:r w:rsidR="00D52F50" w:rsidRPr="007608F7">
        <w:rPr>
          <w:sz w:val="28"/>
          <w:szCs w:val="28"/>
        </w:rPr>
        <w:t>прогнозируемого поступления</w:t>
      </w:r>
      <w:r w:rsidR="00433E27" w:rsidRPr="007608F7">
        <w:rPr>
          <w:sz w:val="28"/>
          <w:szCs w:val="28"/>
        </w:rPr>
        <w:t xml:space="preserve"> </w:t>
      </w:r>
      <w:r w:rsidR="00DE0A2B" w:rsidRPr="007608F7">
        <w:rPr>
          <w:sz w:val="28"/>
          <w:szCs w:val="28"/>
        </w:rPr>
        <w:t>2024</w:t>
      </w:r>
      <w:r w:rsidR="0071514F" w:rsidRPr="007608F7">
        <w:rPr>
          <w:sz w:val="28"/>
          <w:szCs w:val="28"/>
        </w:rPr>
        <w:t> </w:t>
      </w:r>
      <w:r w:rsidR="00433E27" w:rsidRPr="007608F7">
        <w:rPr>
          <w:sz w:val="28"/>
          <w:szCs w:val="28"/>
        </w:rPr>
        <w:t xml:space="preserve">года, в </w:t>
      </w:r>
      <w:r w:rsidR="00DE0A2B" w:rsidRPr="007608F7">
        <w:rPr>
          <w:sz w:val="28"/>
          <w:szCs w:val="28"/>
        </w:rPr>
        <w:t>2026</w:t>
      </w:r>
      <w:r w:rsidR="00E97F85" w:rsidRPr="007608F7">
        <w:rPr>
          <w:sz w:val="28"/>
          <w:szCs w:val="28"/>
        </w:rPr>
        <w:t> </w:t>
      </w:r>
      <w:r w:rsidR="00433E27" w:rsidRPr="007608F7">
        <w:rPr>
          <w:sz w:val="28"/>
          <w:szCs w:val="28"/>
        </w:rPr>
        <w:t xml:space="preserve">году – </w:t>
      </w:r>
      <w:r w:rsidR="00490190" w:rsidRPr="007608F7">
        <w:rPr>
          <w:sz w:val="28"/>
          <w:szCs w:val="28"/>
        </w:rPr>
        <w:t>12 625 358,53</w:t>
      </w:r>
      <w:r w:rsidR="00843B54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433E27" w:rsidRPr="007608F7">
        <w:rPr>
          <w:sz w:val="28"/>
          <w:szCs w:val="28"/>
        </w:rPr>
        <w:t xml:space="preserve">, что на </w:t>
      </w:r>
      <w:r w:rsidR="00490190" w:rsidRPr="007608F7">
        <w:rPr>
          <w:sz w:val="28"/>
          <w:szCs w:val="28"/>
        </w:rPr>
        <w:t>21,03</w:t>
      </w:r>
      <w:r w:rsidR="00AB2AEA" w:rsidRPr="007608F7">
        <w:rPr>
          <w:sz w:val="28"/>
          <w:szCs w:val="28"/>
        </w:rPr>
        <w:t xml:space="preserve">% </w:t>
      </w:r>
      <w:r w:rsidR="004C0DA7" w:rsidRPr="007608F7">
        <w:rPr>
          <w:sz w:val="28"/>
          <w:szCs w:val="28"/>
        </w:rPr>
        <w:t>ниж</w:t>
      </w:r>
      <w:r w:rsidR="008039AD" w:rsidRPr="007608F7">
        <w:rPr>
          <w:sz w:val="28"/>
          <w:szCs w:val="28"/>
        </w:rPr>
        <w:t>е</w:t>
      </w:r>
      <w:r w:rsidR="00433E27"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2025</w:t>
      </w:r>
      <w:r w:rsidR="00433E27" w:rsidRPr="007608F7">
        <w:rPr>
          <w:sz w:val="28"/>
          <w:szCs w:val="28"/>
        </w:rPr>
        <w:t> года.</w:t>
      </w:r>
      <w:r w:rsidR="00874D7A" w:rsidRPr="007608F7">
        <w:rPr>
          <w:sz w:val="28"/>
          <w:szCs w:val="28"/>
        </w:rPr>
        <w:t xml:space="preserve"> </w:t>
      </w:r>
    </w:p>
    <w:p w14:paraId="27DBEB1C" w14:textId="5A56440E" w:rsidR="008768DB" w:rsidRPr="007608F7" w:rsidRDefault="00B15AA4" w:rsidP="00EB4484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доходов от использования имущества (аренды)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> </w:t>
      </w:r>
      <w:r w:rsidR="0071514F" w:rsidRPr="007608F7">
        <w:rPr>
          <w:sz w:val="28"/>
          <w:szCs w:val="28"/>
        </w:rPr>
        <w:t xml:space="preserve">год </w:t>
      </w:r>
      <w:r w:rsidRPr="007608F7">
        <w:rPr>
          <w:sz w:val="28"/>
          <w:szCs w:val="28"/>
        </w:rPr>
        <w:t xml:space="preserve">осуществлен </w:t>
      </w:r>
      <w:r w:rsidR="00417A44" w:rsidRPr="007608F7">
        <w:rPr>
          <w:sz w:val="28"/>
          <w:szCs w:val="28"/>
        </w:rPr>
        <w:t>исходя из действующих договоров аренды, собираемости данного дохода, с учетом планируемых аукционов по продаже права заключения договоров на установку и эксплуатацию рекламных конструкций.</w:t>
      </w:r>
      <w:r w:rsidR="00AB0011" w:rsidRPr="007608F7">
        <w:rPr>
          <w:sz w:val="28"/>
          <w:szCs w:val="28"/>
        </w:rPr>
        <w:t xml:space="preserve"> Снижение прогноза обусловлено окончанием действия договора аренды муниципального имущества </w:t>
      </w:r>
      <w:r w:rsidR="00D00B40" w:rsidRPr="007608F7">
        <w:rPr>
          <w:sz w:val="28"/>
          <w:szCs w:val="28"/>
        </w:rPr>
        <w:t xml:space="preserve">ООО «БЭК» </w:t>
      </w:r>
      <w:r w:rsidR="00AB0011" w:rsidRPr="007608F7">
        <w:rPr>
          <w:sz w:val="28"/>
          <w:szCs w:val="28"/>
        </w:rPr>
        <w:t>и планируемым заключением концессионного соглашения</w:t>
      </w:r>
      <w:r w:rsidR="009B54E2" w:rsidRPr="007608F7">
        <w:rPr>
          <w:sz w:val="28"/>
          <w:szCs w:val="28"/>
        </w:rPr>
        <w:t xml:space="preserve">. </w:t>
      </w:r>
      <w:r w:rsidR="008768DB" w:rsidRPr="007608F7">
        <w:rPr>
          <w:sz w:val="28"/>
          <w:szCs w:val="28"/>
        </w:rPr>
        <w:t xml:space="preserve">Плата, поступившая в рамках договора за предоставление права на установку и эксплуатацию </w:t>
      </w:r>
      <w:r w:rsidR="00695511" w:rsidRPr="007608F7">
        <w:rPr>
          <w:sz w:val="28"/>
          <w:szCs w:val="28"/>
        </w:rPr>
        <w:t>рекламных конструкций,</w:t>
      </w:r>
      <w:r w:rsidR="008768DB" w:rsidRPr="007608F7">
        <w:rPr>
          <w:sz w:val="28"/>
          <w:szCs w:val="28"/>
        </w:rPr>
        <w:t xml:space="preserve"> </w:t>
      </w:r>
      <w:r w:rsidR="00695511" w:rsidRPr="007608F7">
        <w:rPr>
          <w:sz w:val="28"/>
          <w:szCs w:val="28"/>
        </w:rPr>
        <w:t>прогнозируется на 2024 год в размере 3 908 214,25 рубля, что на 36,33% выше ожидаемых поступлений 2023 года, на 2025 и 2026 годы по 3 908 214,25 рубля ежегодно.</w:t>
      </w:r>
    </w:p>
    <w:p w14:paraId="08666515" w14:textId="6E249905" w:rsidR="00695511" w:rsidRPr="007608F7" w:rsidRDefault="00695511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Прогноз доходов от платы за предоставление права на установку и эксплуатацию рекламных </w:t>
      </w:r>
      <w:r w:rsidR="00680C4C" w:rsidRPr="007608F7">
        <w:rPr>
          <w:sz w:val="28"/>
          <w:szCs w:val="28"/>
        </w:rPr>
        <w:t>конструкций на 2024 год осуществлен исходя из действующих договоров и планируемого объема поступлений по вновь объявленным аукционам.</w:t>
      </w:r>
    </w:p>
    <w:p w14:paraId="373B0C0D" w14:textId="58F486D5" w:rsidR="00874D7A" w:rsidRPr="007608F7" w:rsidRDefault="0072072A" w:rsidP="00EB4484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Д</w:t>
      </w:r>
      <w:r w:rsidR="00595B10" w:rsidRPr="007608F7">
        <w:rPr>
          <w:sz w:val="28"/>
          <w:szCs w:val="28"/>
        </w:rPr>
        <w:t xml:space="preserve">оходы от реализации иного имущества, находящегося в собственности городских округов, в части реализации основных средств по указанному имуществу </w:t>
      </w:r>
      <w:r w:rsidR="00417A44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351213" w:rsidRPr="007608F7">
        <w:rPr>
          <w:sz w:val="28"/>
          <w:szCs w:val="28"/>
        </w:rPr>
        <w:t> </w:t>
      </w:r>
      <w:r w:rsidR="00AB2AEA" w:rsidRPr="007608F7">
        <w:rPr>
          <w:sz w:val="28"/>
          <w:szCs w:val="28"/>
        </w:rPr>
        <w:t xml:space="preserve">год </w:t>
      </w:r>
      <w:r w:rsidR="004875A2" w:rsidRPr="007608F7">
        <w:rPr>
          <w:sz w:val="28"/>
          <w:szCs w:val="28"/>
        </w:rPr>
        <w:t xml:space="preserve">прогнозируются в размере </w:t>
      </w:r>
      <w:r w:rsidR="00FD6AB7" w:rsidRPr="007608F7">
        <w:rPr>
          <w:sz w:val="28"/>
          <w:szCs w:val="28"/>
        </w:rPr>
        <w:t>4 407 114,49</w:t>
      </w:r>
      <w:r w:rsidR="008039AD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595B10" w:rsidRPr="007608F7">
        <w:rPr>
          <w:sz w:val="28"/>
          <w:szCs w:val="28"/>
        </w:rPr>
        <w:t xml:space="preserve">, что </w:t>
      </w:r>
      <w:r w:rsidR="00FD6AB7" w:rsidRPr="007608F7">
        <w:rPr>
          <w:sz w:val="28"/>
          <w:szCs w:val="28"/>
        </w:rPr>
        <w:t xml:space="preserve">в 43 раза </w:t>
      </w:r>
      <w:r w:rsidR="0036308D" w:rsidRPr="007608F7">
        <w:rPr>
          <w:sz w:val="28"/>
          <w:szCs w:val="28"/>
        </w:rPr>
        <w:t>ниже</w:t>
      </w:r>
      <w:r w:rsidR="00595B10" w:rsidRPr="007608F7">
        <w:rPr>
          <w:sz w:val="28"/>
          <w:szCs w:val="28"/>
        </w:rPr>
        <w:t xml:space="preserve"> ожидаемых поступл</w:t>
      </w:r>
      <w:r w:rsidR="002A7D84" w:rsidRPr="007608F7">
        <w:rPr>
          <w:sz w:val="28"/>
          <w:szCs w:val="28"/>
        </w:rPr>
        <w:t xml:space="preserve">ений </w:t>
      </w:r>
      <w:r w:rsidR="0091784C" w:rsidRPr="007608F7">
        <w:rPr>
          <w:sz w:val="28"/>
          <w:szCs w:val="28"/>
        </w:rPr>
        <w:t>202</w:t>
      </w:r>
      <w:r w:rsidR="00FD6AB7" w:rsidRPr="007608F7">
        <w:rPr>
          <w:sz w:val="28"/>
          <w:szCs w:val="28"/>
        </w:rPr>
        <w:t>3</w:t>
      </w:r>
      <w:r w:rsidR="00E97F85" w:rsidRPr="007608F7">
        <w:rPr>
          <w:sz w:val="28"/>
          <w:szCs w:val="28"/>
        </w:rPr>
        <w:t> </w:t>
      </w:r>
      <w:r w:rsidR="007D68CB" w:rsidRPr="007608F7">
        <w:rPr>
          <w:sz w:val="28"/>
          <w:szCs w:val="28"/>
        </w:rPr>
        <w:t xml:space="preserve">года, на </w:t>
      </w:r>
      <w:r w:rsidR="00DE0A2B" w:rsidRPr="007608F7">
        <w:rPr>
          <w:sz w:val="28"/>
          <w:szCs w:val="28"/>
        </w:rPr>
        <w:t>2025</w:t>
      </w:r>
      <w:r w:rsidR="00E97F85" w:rsidRPr="007608F7">
        <w:rPr>
          <w:sz w:val="28"/>
          <w:szCs w:val="28"/>
        </w:rPr>
        <w:t> </w:t>
      </w:r>
      <w:r w:rsidR="007D68CB" w:rsidRPr="007608F7">
        <w:rPr>
          <w:sz w:val="28"/>
          <w:szCs w:val="28"/>
        </w:rPr>
        <w:t xml:space="preserve">год – </w:t>
      </w:r>
      <w:r w:rsidR="00FD6AB7" w:rsidRPr="007608F7">
        <w:rPr>
          <w:sz w:val="28"/>
          <w:szCs w:val="28"/>
        </w:rPr>
        <w:t>4 452 417,36</w:t>
      </w:r>
      <w:r w:rsidR="007D68CB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7D68CB" w:rsidRPr="007608F7">
        <w:rPr>
          <w:sz w:val="28"/>
          <w:szCs w:val="28"/>
        </w:rPr>
        <w:t xml:space="preserve">, что на </w:t>
      </w:r>
      <w:r w:rsidR="00FD6AB7" w:rsidRPr="007608F7">
        <w:rPr>
          <w:sz w:val="28"/>
          <w:szCs w:val="28"/>
        </w:rPr>
        <w:t>1,03</w:t>
      </w:r>
      <w:r w:rsidR="00F6106B" w:rsidRPr="007608F7">
        <w:rPr>
          <w:sz w:val="28"/>
          <w:szCs w:val="28"/>
        </w:rPr>
        <w:t>%</w:t>
      </w:r>
      <w:r w:rsidR="007D68CB" w:rsidRPr="007608F7">
        <w:rPr>
          <w:sz w:val="28"/>
          <w:szCs w:val="28"/>
        </w:rPr>
        <w:t xml:space="preserve"> </w:t>
      </w:r>
      <w:r w:rsidR="00FD6AB7" w:rsidRPr="007608F7">
        <w:rPr>
          <w:sz w:val="28"/>
          <w:szCs w:val="28"/>
        </w:rPr>
        <w:t>выше</w:t>
      </w:r>
      <w:r w:rsidR="007D68CB"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2024</w:t>
      </w:r>
      <w:r w:rsidR="00E1562B" w:rsidRPr="007608F7">
        <w:rPr>
          <w:sz w:val="28"/>
          <w:szCs w:val="28"/>
        </w:rPr>
        <w:t> </w:t>
      </w:r>
      <w:r w:rsidR="007D68CB" w:rsidRPr="007608F7">
        <w:rPr>
          <w:sz w:val="28"/>
          <w:szCs w:val="28"/>
        </w:rPr>
        <w:t xml:space="preserve">года, в </w:t>
      </w:r>
      <w:r w:rsidR="00DE0A2B" w:rsidRPr="007608F7">
        <w:rPr>
          <w:sz w:val="28"/>
          <w:szCs w:val="28"/>
        </w:rPr>
        <w:t>2026</w:t>
      </w:r>
      <w:r w:rsidR="00E1562B" w:rsidRPr="007608F7">
        <w:rPr>
          <w:sz w:val="28"/>
          <w:szCs w:val="28"/>
        </w:rPr>
        <w:t> </w:t>
      </w:r>
      <w:r w:rsidR="007D68CB" w:rsidRPr="007608F7">
        <w:rPr>
          <w:sz w:val="28"/>
          <w:szCs w:val="28"/>
        </w:rPr>
        <w:t>году –</w:t>
      </w:r>
      <w:r w:rsidR="0036308D" w:rsidRPr="007608F7">
        <w:rPr>
          <w:sz w:val="28"/>
          <w:szCs w:val="28"/>
        </w:rPr>
        <w:t xml:space="preserve"> </w:t>
      </w:r>
      <w:r w:rsidR="00FD6AB7" w:rsidRPr="007608F7">
        <w:rPr>
          <w:sz w:val="28"/>
          <w:szCs w:val="28"/>
        </w:rPr>
        <w:t>3 340 202,20</w:t>
      </w:r>
      <w:r w:rsidR="005D7A36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7D68CB" w:rsidRPr="007608F7">
        <w:rPr>
          <w:sz w:val="28"/>
          <w:szCs w:val="28"/>
        </w:rPr>
        <w:t xml:space="preserve">, что на </w:t>
      </w:r>
      <w:r w:rsidR="00FD6AB7" w:rsidRPr="007608F7">
        <w:rPr>
          <w:sz w:val="28"/>
          <w:szCs w:val="28"/>
        </w:rPr>
        <w:t>24,98</w:t>
      </w:r>
      <w:r w:rsidR="007D68CB" w:rsidRPr="007608F7">
        <w:rPr>
          <w:sz w:val="28"/>
          <w:szCs w:val="28"/>
        </w:rPr>
        <w:t xml:space="preserve">% </w:t>
      </w:r>
      <w:r w:rsidR="00843B54" w:rsidRPr="007608F7">
        <w:rPr>
          <w:sz w:val="28"/>
          <w:szCs w:val="28"/>
        </w:rPr>
        <w:t>ниже</w:t>
      </w:r>
      <w:r w:rsidR="007D68CB"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2025</w:t>
      </w:r>
      <w:r w:rsidR="007D68CB" w:rsidRPr="007608F7">
        <w:rPr>
          <w:sz w:val="28"/>
          <w:szCs w:val="28"/>
        </w:rPr>
        <w:t> года</w:t>
      </w:r>
      <w:r w:rsidR="0098322E" w:rsidRPr="007608F7">
        <w:rPr>
          <w:sz w:val="28"/>
          <w:szCs w:val="28"/>
        </w:rPr>
        <w:t>.</w:t>
      </w:r>
    </w:p>
    <w:p w14:paraId="3514C839" w14:textId="041A31B7" w:rsidR="0071493B" w:rsidRPr="007608F7" w:rsidRDefault="00593855" w:rsidP="00EB4484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Прогноз</w:t>
      </w:r>
      <w:r w:rsidR="00B0057E" w:rsidRPr="007608F7">
        <w:rPr>
          <w:sz w:val="28"/>
          <w:szCs w:val="28"/>
        </w:rPr>
        <w:t xml:space="preserve"> </w:t>
      </w:r>
      <w:r w:rsidRPr="007608F7">
        <w:rPr>
          <w:sz w:val="28"/>
          <w:szCs w:val="28"/>
        </w:rPr>
        <w:t xml:space="preserve">доходов от реализации имущества осуществлен исходя из средней цены одного квадратного метра </w:t>
      </w:r>
      <w:r w:rsidR="00A64FB7" w:rsidRPr="007608F7">
        <w:rPr>
          <w:sz w:val="28"/>
          <w:szCs w:val="28"/>
        </w:rPr>
        <w:t xml:space="preserve">по итогам продаж </w:t>
      </w:r>
      <w:r w:rsidR="00874D7A" w:rsidRPr="007608F7">
        <w:rPr>
          <w:sz w:val="28"/>
          <w:szCs w:val="28"/>
        </w:rPr>
        <w:t xml:space="preserve">и отчетов об оценке, </w:t>
      </w:r>
      <w:r w:rsidRPr="007608F7">
        <w:rPr>
          <w:sz w:val="28"/>
          <w:szCs w:val="28"/>
        </w:rPr>
        <w:t xml:space="preserve">площади </w:t>
      </w:r>
      <w:r w:rsidR="00D52DC5" w:rsidRPr="007608F7">
        <w:rPr>
          <w:sz w:val="28"/>
          <w:szCs w:val="28"/>
        </w:rPr>
        <w:t>объектов,</w:t>
      </w:r>
      <w:r w:rsidRPr="007608F7">
        <w:rPr>
          <w:sz w:val="28"/>
          <w:szCs w:val="28"/>
        </w:rPr>
        <w:t xml:space="preserve"> планируемых к продаже в </w:t>
      </w:r>
      <w:r w:rsidR="00DE0A2B" w:rsidRPr="007608F7">
        <w:rPr>
          <w:sz w:val="28"/>
          <w:szCs w:val="28"/>
        </w:rPr>
        <w:t>2024</w:t>
      </w:r>
      <w:r w:rsidR="00B26BAE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E97F85" w:rsidRPr="007608F7">
        <w:rPr>
          <w:sz w:val="28"/>
          <w:szCs w:val="28"/>
        </w:rPr>
        <w:t> </w:t>
      </w:r>
      <w:r w:rsidR="006A3843" w:rsidRPr="007608F7">
        <w:rPr>
          <w:sz w:val="28"/>
          <w:szCs w:val="28"/>
        </w:rPr>
        <w:t>годах</w:t>
      </w:r>
      <w:r w:rsidR="00470ED7" w:rsidRPr="007608F7">
        <w:rPr>
          <w:sz w:val="28"/>
          <w:szCs w:val="28"/>
        </w:rPr>
        <w:t xml:space="preserve"> в объеме, предусмотренном решением Думы города Усолье-Сибирское </w:t>
      </w:r>
      <w:r w:rsidR="00881ADA" w:rsidRPr="007608F7">
        <w:rPr>
          <w:sz w:val="28"/>
          <w:szCs w:val="28"/>
        </w:rPr>
        <w:t xml:space="preserve">от 28.09.2023 г. № 69/8 «Об утверждении прогнозного плана (программы) приватизации муниципального имущества города Усолье-Сибирское на 2024 год и плановый период на 2025-2026 годы», </w:t>
      </w:r>
      <w:r w:rsidR="00D52F50" w:rsidRPr="007608F7">
        <w:rPr>
          <w:sz w:val="28"/>
          <w:szCs w:val="28"/>
        </w:rPr>
        <w:t xml:space="preserve">с учетом </w:t>
      </w:r>
      <w:r w:rsidR="0098322E" w:rsidRPr="007608F7">
        <w:rPr>
          <w:sz w:val="28"/>
          <w:szCs w:val="28"/>
        </w:rPr>
        <w:t>доли продаваемости</w:t>
      </w:r>
      <w:r w:rsidR="00D52F50" w:rsidRPr="007608F7">
        <w:rPr>
          <w:sz w:val="28"/>
          <w:szCs w:val="28"/>
        </w:rPr>
        <w:t xml:space="preserve"> квадратных метров муниципальной собственности</w:t>
      </w:r>
      <w:r w:rsidR="00A64DA7" w:rsidRPr="007608F7">
        <w:rPr>
          <w:sz w:val="28"/>
          <w:szCs w:val="28"/>
        </w:rPr>
        <w:t>.</w:t>
      </w:r>
      <w:r w:rsidR="002D61D1" w:rsidRPr="007608F7">
        <w:rPr>
          <w:sz w:val="28"/>
          <w:szCs w:val="28"/>
        </w:rPr>
        <w:t xml:space="preserve"> </w:t>
      </w:r>
      <w:r w:rsidR="004C0DA7" w:rsidRPr="007608F7">
        <w:rPr>
          <w:sz w:val="28"/>
          <w:szCs w:val="28"/>
        </w:rPr>
        <w:t xml:space="preserve">Снижение </w:t>
      </w:r>
      <w:r w:rsidR="002D61D1" w:rsidRPr="007608F7">
        <w:rPr>
          <w:sz w:val="28"/>
          <w:szCs w:val="28"/>
        </w:rPr>
        <w:t>прогноза обусловлено</w:t>
      </w:r>
      <w:r w:rsidR="00595447" w:rsidRPr="007608F7">
        <w:rPr>
          <w:sz w:val="28"/>
          <w:szCs w:val="28"/>
        </w:rPr>
        <w:t xml:space="preserve"> поступлением в 2023 году в казну муниципального образования лома черного металла, образованного после демонтажа надземной части зданий и сооружений на территории бывшего ООО «Усольехимпром».</w:t>
      </w:r>
      <w:r w:rsidR="0071493B" w:rsidRPr="007608F7">
        <w:rPr>
          <w:sz w:val="28"/>
          <w:szCs w:val="28"/>
        </w:rPr>
        <w:t xml:space="preserve"> Нереализованные объекты имущества по итогам 202</w:t>
      </w:r>
      <w:r w:rsidR="004C79B0" w:rsidRPr="007608F7">
        <w:rPr>
          <w:sz w:val="28"/>
          <w:szCs w:val="28"/>
        </w:rPr>
        <w:t>3</w:t>
      </w:r>
      <w:r w:rsidR="0071493B" w:rsidRPr="007608F7">
        <w:rPr>
          <w:sz w:val="28"/>
          <w:szCs w:val="28"/>
        </w:rPr>
        <w:t xml:space="preserve"> года, будут включены в прогнозный план (программу) приватизации муниципального имущества в январе </w:t>
      </w:r>
      <w:r w:rsidR="00DE0A2B" w:rsidRPr="007608F7">
        <w:rPr>
          <w:sz w:val="28"/>
          <w:szCs w:val="28"/>
        </w:rPr>
        <w:t>2024</w:t>
      </w:r>
      <w:r w:rsidR="0071493B" w:rsidRPr="007608F7">
        <w:rPr>
          <w:sz w:val="28"/>
          <w:szCs w:val="28"/>
        </w:rPr>
        <w:t xml:space="preserve"> года.</w:t>
      </w:r>
    </w:p>
    <w:p w14:paraId="78143CC3" w14:textId="7332FC21" w:rsidR="007A134B" w:rsidRPr="007608F7" w:rsidRDefault="00913283" w:rsidP="00EB4484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</w:r>
      <w:r w:rsidR="007A134B" w:rsidRPr="007608F7">
        <w:rPr>
          <w:sz w:val="28"/>
          <w:szCs w:val="28"/>
        </w:rPr>
        <w:t xml:space="preserve">прогнозируется на 2024 год в размере 9 867 472,04 рубля, что на 1,09% выше ожидаемых поступлений 2023 года, на 2025 и 2026 годы по 9 867 472,04 рубля ежегодно на основании динамики поступлений за предыдущие годы. </w:t>
      </w:r>
    </w:p>
    <w:p w14:paraId="06EF7CEF" w14:textId="798465A3" w:rsidR="00D10FDD" w:rsidRPr="007608F7" w:rsidRDefault="0072072A" w:rsidP="00EB4484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</w:t>
      </w:r>
      <w:r w:rsidR="00595B10" w:rsidRPr="007608F7">
        <w:rPr>
          <w:sz w:val="28"/>
          <w:szCs w:val="28"/>
        </w:rPr>
        <w:t xml:space="preserve">рочие неналоговые доходы бюджетов городских округов в части платы за наем жилых помещений </w:t>
      </w:r>
      <w:r w:rsidR="00420DEA"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="00E97F85" w:rsidRPr="007608F7">
        <w:rPr>
          <w:sz w:val="28"/>
          <w:szCs w:val="28"/>
        </w:rPr>
        <w:t> </w:t>
      </w:r>
      <w:r w:rsidR="00D10FDD" w:rsidRPr="007608F7">
        <w:rPr>
          <w:sz w:val="28"/>
          <w:szCs w:val="28"/>
        </w:rPr>
        <w:t xml:space="preserve">год прогнозируются в размере </w:t>
      </w:r>
      <w:r w:rsidR="003A59E3" w:rsidRPr="007608F7">
        <w:rPr>
          <w:sz w:val="28"/>
          <w:szCs w:val="28"/>
        </w:rPr>
        <w:t>7 667 050,26</w:t>
      </w:r>
      <w:r w:rsidR="00DD2575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D10FDD" w:rsidRPr="007608F7">
        <w:rPr>
          <w:sz w:val="28"/>
          <w:szCs w:val="28"/>
        </w:rPr>
        <w:t xml:space="preserve">, что на </w:t>
      </w:r>
      <w:r w:rsidR="003A59E3" w:rsidRPr="007608F7">
        <w:rPr>
          <w:sz w:val="28"/>
          <w:szCs w:val="28"/>
        </w:rPr>
        <w:t>7,84</w:t>
      </w:r>
      <w:r w:rsidR="00D10FDD" w:rsidRPr="007608F7">
        <w:rPr>
          <w:sz w:val="28"/>
          <w:szCs w:val="28"/>
        </w:rPr>
        <w:t xml:space="preserve">% выше ожидаемых поступлений </w:t>
      </w:r>
      <w:r w:rsidR="0091784C" w:rsidRPr="007608F7">
        <w:rPr>
          <w:sz w:val="28"/>
          <w:szCs w:val="28"/>
        </w:rPr>
        <w:t>202</w:t>
      </w:r>
      <w:r w:rsidR="003A59E3" w:rsidRPr="007608F7">
        <w:rPr>
          <w:sz w:val="28"/>
          <w:szCs w:val="28"/>
        </w:rPr>
        <w:t>3</w:t>
      </w:r>
      <w:r w:rsidR="00E97F85" w:rsidRPr="007608F7">
        <w:rPr>
          <w:sz w:val="28"/>
          <w:szCs w:val="28"/>
        </w:rPr>
        <w:t> </w:t>
      </w:r>
      <w:r w:rsidR="00D10FDD" w:rsidRPr="007608F7">
        <w:rPr>
          <w:sz w:val="28"/>
          <w:szCs w:val="28"/>
        </w:rPr>
        <w:t xml:space="preserve">года, на </w:t>
      </w:r>
      <w:r w:rsidR="00DE0A2B" w:rsidRPr="007608F7">
        <w:rPr>
          <w:sz w:val="28"/>
          <w:szCs w:val="28"/>
        </w:rPr>
        <w:t>2025</w:t>
      </w:r>
      <w:r w:rsidR="00B26BAE" w:rsidRPr="007608F7">
        <w:rPr>
          <w:sz w:val="28"/>
          <w:szCs w:val="28"/>
        </w:rPr>
        <w:t>-</w:t>
      </w:r>
      <w:r w:rsidR="00DE0A2B" w:rsidRPr="007608F7">
        <w:rPr>
          <w:sz w:val="28"/>
          <w:szCs w:val="28"/>
        </w:rPr>
        <w:t>2026</w:t>
      </w:r>
      <w:r w:rsidR="00D10FDD" w:rsidRPr="007608F7">
        <w:rPr>
          <w:sz w:val="28"/>
          <w:szCs w:val="28"/>
        </w:rPr>
        <w:t> год</w:t>
      </w:r>
      <w:r w:rsidR="008035C5" w:rsidRPr="007608F7">
        <w:rPr>
          <w:sz w:val="28"/>
          <w:szCs w:val="28"/>
        </w:rPr>
        <w:t>ы</w:t>
      </w:r>
      <w:r w:rsidR="00D10FDD" w:rsidRPr="007608F7">
        <w:rPr>
          <w:sz w:val="28"/>
          <w:szCs w:val="28"/>
        </w:rPr>
        <w:t xml:space="preserve"> – </w:t>
      </w:r>
      <w:r w:rsidR="008035C5" w:rsidRPr="007608F7">
        <w:rPr>
          <w:sz w:val="28"/>
          <w:szCs w:val="28"/>
        </w:rPr>
        <w:t xml:space="preserve">по </w:t>
      </w:r>
      <w:r w:rsidR="003A59E3" w:rsidRPr="007608F7">
        <w:rPr>
          <w:sz w:val="28"/>
          <w:szCs w:val="28"/>
        </w:rPr>
        <w:t>7 667 050,26</w:t>
      </w:r>
      <w:r w:rsidR="008039AD" w:rsidRPr="007608F7">
        <w:rPr>
          <w:sz w:val="28"/>
          <w:szCs w:val="28"/>
        </w:rPr>
        <w:t> </w:t>
      </w:r>
      <w:r w:rsidR="00FF6E69" w:rsidRPr="007608F7">
        <w:rPr>
          <w:sz w:val="28"/>
          <w:szCs w:val="28"/>
        </w:rPr>
        <w:t>рубля</w:t>
      </w:r>
      <w:r w:rsidR="00B26BAE" w:rsidRPr="007608F7">
        <w:rPr>
          <w:sz w:val="28"/>
          <w:szCs w:val="28"/>
        </w:rPr>
        <w:t xml:space="preserve"> ежегодно</w:t>
      </w:r>
      <w:r w:rsidR="00D10FDD" w:rsidRPr="007608F7">
        <w:rPr>
          <w:sz w:val="28"/>
          <w:szCs w:val="28"/>
        </w:rPr>
        <w:t xml:space="preserve">. </w:t>
      </w:r>
    </w:p>
    <w:p w14:paraId="3E8628E2" w14:textId="417B2A20" w:rsidR="00715214" w:rsidRPr="007608F7" w:rsidRDefault="002A7D84" w:rsidP="00EB4484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Прогноз доходов от платы за наем жилых помещений осуществлен исходя из площади</w:t>
      </w:r>
      <w:r w:rsidR="0072625C" w:rsidRPr="007608F7">
        <w:rPr>
          <w:sz w:val="28"/>
          <w:szCs w:val="28"/>
        </w:rPr>
        <w:t xml:space="preserve"> </w:t>
      </w:r>
      <w:r w:rsidR="00A56362" w:rsidRPr="007608F7">
        <w:rPr>
          <w:sz w:val="28"/>
          <w:szCs w:val="28"/>
        </w:rPr>
        <w:t>жилого фонда</w:t>
      </w:r>
      <w:r w:rsidR="005D12BC" w:rsidRPr="007608F7">
        <w:rPr>
          <w:sz w:val="28"/>
          <w:szCs w:val="28"/>
        </w:rPr>
        <w:t xml:space="preserve">, </w:t>
      </w:r>
      <w:r w:rsidRPr="007608F7">
        <w:rPr>
          <w:sz w:val="28"/>
          <w:szCs w:val="28"/>
        </w:rPr>
        <w:t>размер</w:t>
      </w:r>
      <w:r w:rsidR="005D12BC" w:rsidRPr="007608F7">
        <w:rPr>
          <w:sz w:val="28"/>
          <w:szCs w:val="28"/>
        </w:rPr>
        <w:t>а платы за один квадратный метр, процента собираемости</w:t>
      </w:r>
      <w:r w:rsidR="00420DEA" w:rsidRPr="007608F7">
        <w:rPr>
          <w:sz w:val="28"/>
          <w:szCs w:val="28"/>
        </w:rPr>
        <w:t xml:space="preserve">. </w:t>
      </w:r>
      <w:r w:rsidR="009256E1" w:rsidRPr="007608F7">
        <w:rPr>
          <w:sz w:val="28"/>
          <w:szCs w:val="28"/>
        </w:rPr>
        <w:t>Рост</w:t>
      </w:r>
      <w:r w:rsidR="00F30636" w:rsidRPr="007608F7">
        <w:rPr>
          <w:sz w:val="28"/>
          <w:szCs w:val="28"/>
        </w:rPr>
        <w:t xml:space="preserve"> поступлений по данному виду дохода обусловлен</w:t>
      </w:r>
      <w:r w:rsidR="00674C62" w:rsidRPr="007608F7">
        <w:rPr>
          <w:sz w:val="28"/>
          <w:szCs w:val="28"/>
        </w:rPr>
        <w:t xml:space="preserve"> </w:t>
      </w:r>
      <w:r w:rsidR="00A56362" w:rsidRPr="007608F7">
        <w:rPr>
          <w:sz w:val="28"/>
          <w:szCs w:val="28"/>
        </w:rPr>
        <w:t xml:space="preserve">увеличением площади жилых помещений и </w:t>
      </w:r>
      <w:r w:rsidR="0071493B" w:rsidRPr="007608F7">
        <w:rPr>
          <w:sz w:val="28"/>
          <w:szCs w:val="28"/>
        </w:rPr>
        <w:t>повышенным коэффициентом собираемости</w:t>
      </w:r>
      <w:r w:rsidR="00A56362" w:rsidRPr="007608F7">
        <w:rPr>
          <w:sz w:val="28"/>
          <w:szCs w:val="28"/>
        </w:rPr>
        <w:t>.</w:t>
      </w:r>
    </w:p>
    <w:p w14:paraId="73CDACAD" w14:textId="77777777" w:rsidR="005D12BC" w:rsidRPr="007608F7" w:rsidRDefault="005D12BC" w:rsidP="00EB4484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14:paraId="34666335" w14:textId="77777777" w:rsidR="00385F5E" w:rsidRPr="007608F7" w:rsidRDefault="00385F5E" w:rsidP="00EB4484">
      <w:pPr>
        <w:keepNext/>
        <w:widowControl w:val="0"/>
        <w:ind w:firstLine="709"/>
        <w:jc w:val="center"/>
        <w:rPr>
          <w:b/>
          <w:sz w:val="28"/>
          <w:szCs w:val="28"/>
        </w:rPr>
      </w:pPr>
      <w:r w:rsidRPr="007608F7">
        <w:rPr>
          <w:b/>
          <w:sz w:val="28"/>
          <w:szCs w:val="28"/>
        </w:rPr>
        <w:t>Безвозмездные поступления</w:t>
      </w:r>
    </w:p>
    <w:p w14:paraId="56F8B38E" w14:textId="77777777" w:rsidR="00A905CB" w:rsidRPr="007608F7" w:rsidRDefault="00A905CB" w:rsidP="00EB4484">
      <w:pPr>
        <w:keepNext/>
        <w:widowControl w:val="0"/>
        <w:ind w:firstLine="709"/>
        <w:jc w:val="center"/>
        <w:rPr>
          <w:b/>
        </w:rPr>
      </w:pPr>
    </w:p>
    <w:p w14:paraId="1E0D3D7B" w14:textId="587F5A9B" w:rsidR="007013BD" w:rsidRPr="007608F7" w:rsidRDefault="00385F5E" w:rsidP="00EB4484">
      <w:pPr>
        <w:keepNext/>
        <w:widowControl w:val="0"/>
        <w:ind w:firstLine="709"/>
        <w:jc w:val="both"/>
        <w:rPr>
          <w:b/>
          <w:sz w:val="28"/>
          <w:szCs w:val="28"/>
        </w:rPr>
      </w:pPr>
      <w:r w:rsidRPr="007608F7">
        <w:rPr>
          <w:sz w:val="28"/>
          <w:szCs w:val="28"/>
        </w:rPr>
        <w:t xml:space="preserve">Объем безвозмездных поступлений в бюджет города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определен </w:t>
      </w:r>
      <w:r w:rsidR="00D35729" w:rsidRPr="007608F7">
        <w:rPr>
          <w:sz w:val="28"/>
          <w:szCs w:val="28"/>
        </w:rPr>
        <w:t>в соответствии</w:t>
      </w:r>
      <w:r w:rsidR="00843B54" w:rsidRPr="007608F7">
        <w:rPr>
          <w:sz w:val="28"/>
          <w:szCs w:val="28"/>
        </w:rPr>
        <w:t xml:space="preserve"> проектом </w:t>
      </w:r>
      <w:r w:rsidR="00D35729" w:rsidRPr="007608F7">
        <w:rPr>
          <w:sz w:val="28"/>
          <w:szCs w:val="28"/>
        </w:rPr>
        <w:t>закон</w:t>
      </w:r>
      <w:r w:rsidR="00843B54" w:rsidRPr="007608F7">
        <w:rPr>
          <w:sz w:val="28"/>
          <w:szCs w:val="28"/>
        </w:rPr>
        <w:t>а</w:t>
      </w:r>
      <w:r w:rsidR="003A7DCE" w:rsidRPr="007608F7">
        <w:rPr>
          <w:sz w:val="28"/>
          <w:szCs w:val="28"/>
        </w:rPr>
        <w:t xml:space="preserve"> Иркутской области «Об областном бюджете на </w:t>
      </w:r>
      <w:r w:rsidR="00DE0A2B" w:rsidRPr="007608F7">
        <w:rPr>
          <w:sz w:val="28"/>
          <w:szCs w:val="28"/>
        </w:rPr>
        <w:t>2024</w:t>
      </w:r>
      <w:r w:rsidR="00A17A50" w:rsidRPr="007608F7">
        <w:rPr>
          <w:sz w:val="28"/>
          <w:szCs w:val="28"/>
        </w:rPr>
        <w:t> </w:t>
      </w:r>
      <w:r w:rsidR="003A7DCE" w:rsidRPr="007608F7">
        <w:rPr>
          <w:sz w:val="28"/>
          <w:szCs w:val="28"/>
        </w:rPr>
        <w:t xml:space="preserve">год и плановый период </w:t>
      </w:r>
      <w:r w:rsidR="00DE0A2B" w:rsidRPr="007608F7">
        <w:rPr>
          <w:sz w:val="28"/>
          <w:szCs w:val="28"/>
        </w:rPr>
        <w:t>2025</w:t>
      </w:r>
      <w:r w:rsidR="003A7DCE" w:rsidRPr="007608F7">
        <w:rPr>
          <w:sz w:val="28"/>
          <w:szCs w:val="28"/>
        </w:rPr>
        <w:t xml:space="preserve"> и </w:t>
      </w:r>
      <w:r w:rsidR="00DE0A2B" w:rsidRPr="007608F7">
        <w:rPr>
          <w:sz w:val="28"/>
          <w:szCs w:val="28"/>
        </w:rPr>
        <w:t>2026</w:t>
      </w:r>
      <w:r w:rsidR="00E97F85" w:rsidRPr="007608F7">
        <w:rPr>
          <w:sz w:val="28"/>
          <w:szCs w:val="28"/>
        </w:rPr>
        <w:t> </w:t>
      </w:r>
      <w:r w:rsidR="003A7DCE" w:rsidRPr="007608F7">
        <w:rPr>
          <w:sz w:val="28"/>
          <w:szCs w:val="28"/>
        </w:rPr>
        <w:t>годов»</w:t>
      </w:r>
      <w:r w:rsidR="00D10FDD" w:rsidRPr="007608F7">
        <w:rPr>
          <w:b/>
          <w:sz w:val="28"/>
          <w:szCs w:val="28"/>
        </w:rPr>
        <w:t>.</w:t>
      </w:r>
    </w:p>
    <w:p w14:paraId="7CFC6AED" w14:textId="7DE53FD0" w:rsidR="000620E8" w:rsidRPr="007608F7" w:rsidRDefault="000620E8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В прогнозе безвозмездных поступлений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> год не отражены:</w:t>
      </w:r>
    </w:p>
    <w:p w14:paraId="7A9EFEBB" w14:textId="77777777" w:rsidR="000620E8" w:rsidRPr="007608F7" w:rsidRDefault="000620E8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прочие безвозмездные поступления (целевые средства), план по которым определяется в течение финансового года;</w:t>
      </w:r>
    </w:p>
    <w:p w14:paraId="409F36DB" w14:textId="1E84468D" w:rsidR="000620E8" w:rsidRPr="007608F7" w:rsidRDefault="000620E8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частично, субсидии бюджетам городских округов, распределяемые на конкурсной основе и предоставляемые в соответствии государственными программами Иркутской области, распределение которых будет осуществляться в течение года в процессе изменения параметров государственных программ;</w:t>
      </w:r>
    </w:p>
    <w:p w14:paraId="37085131" w14:textId="77777777" w:rsidR="000620E8" w:rsidRPr="007608F7" w:rsidRDefault="000620E8" w:rsidP="00EB4484">
      <w:pPr>
        <w:widowControl w:val="0"/>
        <w:tabs>
          <w:tab w:val="left" w:pos="1800"/>
        </w:tabs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другие виды безвозмездных поступлений (в том числе нецелевой финансовой поддержки), распределение которых будет осуществляться в процессе изменения и исполнения областного бюджета.</w:t>
      </w:r>
    </w:p>
    <w:p w14:paraId="551F9247" w14:textId="7362A50D" w:rsidR="000620E8" w:rsidRPr="007608F7" w:rsidRDefault="000620E8" w:rsidP="00EB4484">
      <w:pPr>
        <w:widowControl w:val="0"/>
        <w:ind w:firstLine="709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Безвозмездные поступления 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 определены в размере </w:t>
      </w:r>
      <w:r w:rsidR="003A59E3" w:rsidRPr="007608F7">
        <w:rPr>
          <w:sz w:val="28"/>
          <w:szCs w:val="28"/>
        </w:rPr>
        <w:t>3 187 532 600</w:t>
      </w:r>
      <w:r w:rsidR="00B97055" w:rsidRPr="007608F7">
        <w:rPr>
          <w:sz w:val="28"/>
          <w:szCs w:val="28"/>
        </w:rPr>
        <w:t>,00</w:t>
      </w:r>
      <w:r w:rsidR="008C4769" w:rsidRPr="007608F7">
        <w:rPr>
          <w:sz w:val="28"/>
          <w:szCs w:val="28"/>
        </w:rPr>
        <w:t> </w:t>
      </w:r>
      <w:r w:rsidR="005A06EA" w:rsidRPr="007608F7">
        <w:rPr>
          <w:sz w:val="28"/>
          <w:szCs w:val="28"/>
        </w:rPr>
        <w:t>рублей</w:t>
      </w:r>
      <w:r w:rsidRPr="007608F7">
        <w:rPr>
          <w:sz w:val="28"/>
          <w:szCs w:val="28"/>
        </w:rPr>
        <w:t xml:space="preserve">, что на </w:t>
      </w:r>
      <w:r w:rsidR="003A59E3" w:rsidRPr="007608F7">
        <w:rPr>
          <w:sz w:val="28"/>
          <w:szCs w:val="28"/>
        </w:rPr>
        <w:t>12,72</w:t>
      </w:r>
      <w:r w:rsidR="006C1FDF" w:rsidRPr="007608F7">
        <w:rPr>
          <w:sz w:val="28"/>
          <w:szCs w:val="28"/>
        </w:rPr>
        <w:t xml:space="preserve">% </w:t>
      </w:r>
      <w:r w:rsidR="003A59E3" w:rsidRPr="007608F7">
        <w:rPr>
          <w:sz w:val="28"/>
          <w:szCs w:val="28"/>
        </w:rPr>
        <w:t>ниже</w:t>
      </w:r>
      <w:r w:rsidRPr="007608F7">
        <w:rPr>
          <w:sz w:val="28"/>
          <w:szCs w:val="28"/>
        </w:rPr>
        <w:t xml:space="preserve"> ожидаемого поступления </w:t>
      </w:r>
      <w:r w:rsidR="0091784C" w:rsidRPr="007608F7">
        <w:rPr>
          <w:sz w:val="28"/>
          <w:szCs w:val="28"/>
        </w:rPr>
        <w:t>202</w:t>
      </w:r>
      <w:r w:rsidR="003A59E3" w:rsidRPr="007608F7">
        <w:rPr>
          <w:sz w:val="28"/>
          <w:szCs w:val="28"/>
        </w:rPr>
        <w:t>3</w:t>
      </w:r>
      <w:r w:rsidRPr="007608F7">
        <w:rPr>
          <w:sz w:val="28"/>
          <w:szCs w:val="28"/>
        </w:rPr>
        <w:t xml:space="preserve"> года, на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 год – </w:t>
      </w:r>
      <w:r w:rsidR="003A59E3" w:rsidRPr="007608F7">
        <w:rPr>
          <w:sz w:val="28"/>
          <w:szCs w:val="28"/>
        </w:rPr>
        <w:t>1 747 327 800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 xml:space="preserve">, что на </w:t>
      </w:r>
      <w:r w:rsidR="003A59E3" w:rsidRPr="007608F7">
        <w:rPr>
          <w:sz w:val="28"/>
          <w:szCs w:val="28"/>
        </w:rPr>
        <w:t>45,18</w:t>
      </w:r>
      <w:r w:rsidRPr="007608F7">
        <w:rPr>
          <w:sz w:val="28"/>
          <w:szCs w:val="28"/>
        </w:rPr>
        <w:t xml:space="preserve">% </w:t>
      </w:r>
      <w:r w:rsidR="001B2D2D" w:rsidRPr="007608F7">
        <w:rPr>
          <w:sz w:val="28"/>
          <w:szCs w:val="28"/>
        </w:rPr>
        <w:t>ниже</w:t>
      </w:r>
      <w:r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 года, в 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 xml:space="preserve"> году – </w:t>
      </w:r>
      <w:r w:rsidR="003A59E3" w:rsidRPr="007608F7">
        <w:rPr>
          <w:sz w:val="28"/>
          <w:szCs w:val="28"/>
        </w:rPr>
        <w:t>1 741 409 700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 xml:space="preserve">, что на </w:t>
      </w:r>
      <w:r w:rsidR="003A59E3" w:rsidRPr="007608F7">
        <w:rPr>
          <w:sz w:val="28"/>
          <w:szCs w:val="28"/>
        </w:rPr>
        <w:t>0,34</w:t>
      </w:r>
      <w:r w:rsidRPr="007608F7">
        <w:rPr>
          <w:sz w:val="28"/>
          <w:szCs w:val="28"/>
        </w:rPr>
        <w:t xml:space="preserve">% </w:t>
      </w:r>
      <w:r w:rsidR="00CE0C9A" w:rsidRPr="007608F7">
        <w:rPr>
          <w:sz w:val="28"/>
          <w:szCs w:val="28"/>
        </w:rPr>
        <w:t>ниже</w:t>
      </w:r>
      <w:r w:rsidRPr="007608F7">
        <w:rPr>
          <w:sz w:val="28"/>
          <w:szCs w:val="28"/>
        </w:rPr>
        <w:t xml:space="preserve"> прогнозируемого поступления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> года.</w:t>
      </w:r>
    </w:p>
    <w:tbl>
      <w:tblPr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1701"/>
        <w:gridCol w:w="709"/>
        <w:gridCol w:w="1701"/>
        <w:gridCol w:w="1701"/>
      </w:tblGrid>
      <w:tr w:rsidR="007608F7" w:rsidRPr="007608F7" w14:paraId="04F49539" w14:textId="77777777" w:rsidTr="00A91EB5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EFAF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C35A" w14:textId="58E72898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</w:t>
            </w:r>
            <w:r w:rsidR="000F7C82" w:rsidRPr="007608F7">
              <w:rPr>
                <w:sz w:val="22"/>
                <w:szCs w:val="22"/>
                <w:lang w:val="en-US"/>
              </w:rPr>
              <w:t>2</w:t>
            </w:r>
            <w:r w:rsidRPr="007608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FEB5" w14:textId="747B0F2C" w:rsidR="0083234A" w:rsidRPr="007608F7" w:rsidRDefault="0091784C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</w:t>
            </w:r>
            <w:r w:rsidR="000F7C82" w:rsidRPr="007608F7">
              <w:rPr>
                <w:sz w:val="22"/>
                <w:szCs w:val="22"/>
                <w:lang w:val="en-US"/>
              </w:rPr>
              <w:t>3</w:t>
            </w:r>
            <w:r w:rsidR="0083234A" w:rsidRPr="007608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B12EC5" w14:textId="6349625D" w:rsidR="0083234A" w:rsidRPr="007608F7" w:rsidRDefault="00DE0A2B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2024</w:t>
            </w:r>
            <w:r w:rsidR="0083234A" w:rsidRPr="007608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FAEF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 xml:space="preserve">Темп роста,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9E27" w14:textId="27D01578" w:rsidR="0083234A" w:rsidRPr="007608F7" w:rsidRDefault="00DE0A2B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2025</w:t>
            </w:r>
            <w:r w:rsidR="0083234A" w:rsidRPr="007608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3DC5" w14:textId="65D8D100" w:rsidR="0083234A" w:rsidRPr="007608F7" w:rsidRDefault="00DE0A2B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2026</w:t>
            </w:r>
            <w:r w:rsidR="0083234A" w:rsidRPr="007608F7">
              <w:rPr>
                <w:sz w:val="22"/>
                <w:szCs w:val="22"/>
              </w:rPr>
              <w:t xml:space="preserve"> г.</w:t>
            </w:r>
          </w:p>
        </w:tc>
      </w:tr>
      <w:tr w:rsidR="007608F7" w:rsidRPr="007608F7" w14:paraId="1E00EE90" w14:textId="77777777" w:rsidTr="00A91EB5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5957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29D6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факт (руб.)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B84D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оценка (руб.)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D495FB3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4E71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F4A1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AB72" w14:textId="77777777" w:rsidR="0083234A" w:rsidRPr="007608F7" w:rsidRDefault="0083234A" w:rsidP="00EB4484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прогноз (руб.)</w:t>
            </w:r>
          </w:p>
        </w:tc>
      </w:tr>
    </w:tbl>
    <w:p w14:paraId="0101696E" w14:textId="77777777" w:rsidR="000D47D5" w:rsidRPr="007608F7" w:rsidRDefault="000D47D5" w:rsidP="00EB4484">
      <w:pPr>
        <w:rPr>
          <w:sz w:val="2"/>
          <w:szCs w:val="2"/>
        </w:rPr>
      </w:pPr>
    </w:p>
    <w:tbl>
      <w:tblPr>
        <w:tblW w:w="11057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1701"/>
        <w:gridCol w:w="709"/>
        <w:gridCol w:w="1701"/>
        <w:gridCol w:w="1701"/>
      </w:tblGrid>
      <w:tr w:rsidR="007608F7" w:rsidRPr="007608F7" w14:paraId="5801D918" w14:textId="77777777" w:rsidTr="007B61EE">
        <w:trPr>
          <w:trHeight w:val="20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C328" w14:textId="0609F105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C51A" w14:textId="540F94AA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3BAF" w14:textId="15EC6E3B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0355C1" w14:textId="7A573C50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BB42" w14:textId="6271C839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AD6B" w14:textId="276EB27A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9E90" w14:textId="0C80CF18" w:rsidR="000F7C82" w:rsidRPr="007608F7" w:rsidRDefault="000F7C82" w:rsidP="000F7C82">
            <w:pPr>
              <w:ind w:left="-111" w:right="-113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7</w:t>
            </w:r>
          </w:p>
        </w:tc>
      </w:tr>
      <w:tr w:rsidR="007608F7" w:rsidRPr="007608F7" w14:paraId="14B7377B" w14:textId="77777777" w:rsidTr="007B61E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654E" w14:textId="37BEA182" w:rsidR="000F7C82" w:rsidRPr="007608F7" w:rsidRDefault="000F7C82" w:rsidP="000F7C82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БЕЗВОЗМЕЗДНЫЕ ПОСТУПЛЕНИЯ,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3747" w14:textId="609FC2BF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2 866 097 892,59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85C0" w14:textId="30AE73C2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3 652 092 389,27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B9E5" w14:textId="01A88E35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3 187 532 600,00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40EF" w14:textId="325627CC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87,28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FA40" w14:textId="2409A84E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1 747 327 800,00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329B" w14:textId="5B953FD6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1 741 409 700,00</w:t>
            </w:r>
          </w:p>
        </w:tc>
      </w:tr>
      <w:tr w:rsidR="007608F7" w:rsidRPr="007608F7" w14:paraId="4EA30651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34FC" w14:textId="42C2255B" w:rsidR="000F7C82" w:rsidRPr="007608F7" w:rsidRDefault="000F7C82" w:rsidP="000F7C82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Безвозмездные поступления от других бюджетов,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9671" w14:textId="3B9A91E0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2 862 934 819,30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404C" w14:textId="7728A88E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3 652 087 217,81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75E1" w14:textId="769E7B67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3 187 532 600,00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2383" w14:textId="131FA34F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87,28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2C35" w14:textId="1348D14A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1 747 327 800,00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E25E" w14:textId="5344D2C9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1 741 409 700,00</w:t>
            </w:r>
          </w:p>
        </w:tc>
      </w:tr>
      <w:tr w:rsidR="007608F7" w:rsidRPr="007608F7" w14:paraId="652E8871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26EB" w14:textId="3C7E17A0" w:rsidR="000F7C82" w:rsidRPr="007608F7" w:rsidRDefault="000F7C82" w:rsidP="000F7C82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Дотации,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E8E0" w14:textId="2ACBEED7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287 238 900,00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BB9B" w14:textId="629746DD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220 166 300,00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082C" w14:textId="2391F70D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408 185 300,00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31D1" w14:textId="1964CC25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185,40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CA63" w14:textId="37E996D5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109 507 700,00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F8EE" w14:textId="633752F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92 233 700,00</w:t>
            </w:r>
          </w:p>
        </w:tc>
      </w:tr>
      <w:tr w:rsidR="007608F7" w:rsidRPr="007608F7" w14:paraId="55D7286D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49EA" w14:textId="4E9FE25E" w:rsidR="000F7C82" w:rsidRPr="007608F7" w:rsidRDefault="000F7C82" w:rsidP="000F7C82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814F" w14:textId="56034A27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161 912 600,00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6B5F" w14:textId="631EE689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156 897 700,00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F3C8" w14:textId="2A2DA927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181 145 900,00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F216" w14:textId="1F6A15DA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115,45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F2D6" w14:textId="60F35207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109 507 700,00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219" w14:textId="74A43A70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92 233 700,00</w:t>
            </w:r>
          </w:p>
        </w:tc>
      </w:tr>
      <w:tr w:rsidR="007608F7" w:rsidRPr="007608F7" w14:paraId="5A766AD2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B44A" w14:textId="7743D34D" w:rsidR="000F7C82" w:rsidRPr="007608F7" w:rsidRDefault="000F7C82" w:rsidP="000F7C82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5ACA" w14:textId="39A71282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125 326 300,00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E467" w14:textId="4D538971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63 268 600,00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2846" w14:textId="799A5EF0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227 039 400,00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CBA3" w14:textId="532F4240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358,85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0D9F" w14:textId="3ABDACEA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6BB3" w14:textId="1108DDBA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</w:tr>
      <w:tr w:rsidR="007608F7" w:rsidRPr="007608F7" w14:paraId="51089817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EE5B" w14:textId="4C5DAE4C" w:rsidR="000F7C82" w:rsidRPr="007608F7" w:rsidRDefault="000F7C82" w:rsidP="000F7C82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Субсидии,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DA66" w14:textId="000E912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1 011 861 675,97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3D84" w14:textId="254FDC34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1 708 750 417,81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CF36" w14:textId="66B5CC63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1 161 550 000,00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37C9" w14:textId="26168FC1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67,98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0CE2" w14:textId="67509A9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94 431 600,00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2567" w14:textId="3D8CC397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96 087 100,00</w:t>
            </w:r>
          </w:p>
        </w:tc>
      </w:tr>
      <w:tr w:rsidR="007608F7" w:rsidRPr="007608F7" w14:paraId="1E749454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829F" w14:textId="791B7A64" w:rsidR="000F7C82" w:rsidRPr="007608F7" w:rsidRDefault="000F7C82" w:rsidP="000F7C82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Субсидии на выплату денежного содержания и заработной платы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E68D" w14:textId="00DCEEA5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90 557 600,00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926D" w14:textId="5ECE8B89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118 707 700,00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4C52" w14:textId="1182182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AED8" w14:textId="625B79E4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7221" w14:textId="00D71154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37C7" w14:textId="5487B599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0,00</w:t>
            </w:r>
          </w:p>
        </w:tc>
      </w:tr>
      <w:tr w:rsidR="007608F7" w:rsidRPr="007608F7" w14:paraId="68F5C75D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157B" w14:textId="64D0DAFE" w:rsidR="000F7C82" w:rsidRPr="007608F7" w:rsidRDefault="000F7C82" w:rsidP="000F7C82">
            <w:pPr>
              <w:ind w:left="-110" w:right="-106" w:firstLineChars="3" w:firstLine="7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Субвенции,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0E04" w14:textId="0F245D91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1 505 306 872,90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6C85" w14:textId="31C2A8FB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1 556 485 000,00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0595" w14:textId="169DCC61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1 617 797 300,00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E1BF" w14:textId="742FC951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103,94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3434" w14:textId="2711D24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1 543 388 500,00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843C" w14:textId="6944EB1C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1 553 088 900,00</w:t>
            </w:r>
          </w:p>
        </w:tc>
      </w:tr>
      <w:tr w:rsidR="007608F7" w:rsidRPr="007608F7" w14:paraId="706D3375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2542" w14:textId="5B959F38" w:rsidR="000F7C82" w:rsidRPr="007608F7" w:rsidRDefault="000F7C82" w:rsidP="000F7C82">
            <w:pPr>
              <w:ind w:left="-110" w:right="-106" w:firstLineChars="3" w:firstLine="7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Субвенция на обеспечение государственных гарантий граждан на получение образования, в том числе дошкольного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3316" w14:textId="192CB621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1 412 818 100,00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B23A" w14:textId="1F61BF33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1 509 401 400,00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2FBD" w14:textId="459EE2E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1 571 449 400,00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493E" w14:textId="1356B11C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104,11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925B" w14:textId="35042DF0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1 497 040 100,00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AE2A" w14:textId="01E030C6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1 506 551 300,00</w:t>
            </w:r>
          </w:p>
        </w:tc>
      </w:tr>
      <w:tr w:rsidR="007608F7" w:rsidRPr="007608F7" w14:paraId="1A0CBFFB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042B" w14:textId="0E952B88" w:rsidR="000F7C82" w:rsidRPr="007608F7" w:rsidRDefault="000F7C82" w:rsidP="000F7C82">
            <w:pPr>
              <w:ind w:left="-110" w:right="-106" w:firstLineChars="62" w:firstLine="136"/>
              <w:jc w:val="center"/>
              <w:rPr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Иные МБТ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B86A" w14:textId="06B2A62B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58 527 370,43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AFB2" w14:textId="480506E3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166 685 500,00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1CCC" w14:textId="28E65B5E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B5D8" w14:textId="02E74B1A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037F" w14:textId="62B54D74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BDC" w14:textId="4327648F" w:rsidR="000F7C82" w:rsidRPr="007608F7" w:rsidRDefault="000F7C82" w:rsidP="000F7C82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7608F7">
              <w:rPr>
                <w:sz w:val="22"/>
                <w:szCs w:val="22"/>
              </w:rPr>
              <w:t>0</w:t>
            </w:r>
          </w:p>
        </w:tc>
      </w:tr>
      <w:tr w:rsidR="007608F7" w:rsidRPr="007608F7" w14:paraId="1FCB8A0D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DDFC" w14:textId="75388517" w:rsidR="000F7C82" w:rsidRPr="007608F7" w:rsidRDefault="000F7C82" w:rsidP="000F7C82">
            <w:pPr>
              <w:ind w:left="-110" w:right="-106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Прочие безвозмездные поступления (пожертвования)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FD9E" w14:textId="5E45E5F4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404 131,22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4D8D" w14:textId="509D375B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252 500,00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C1B6" w14:textId="4AFC04CD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3DE5" w14:textId="5BC2645D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4305" w14:textId="1B0A5F34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05EF" w14:textId="40D02196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608F7" w:rsidRPr="007608F7" w14:paraId="77215385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E199" w14:textId="61EE6760" w:rsidR="000F7C82" w:rsidRPr="007608F7" w:rsidRDefault="000F7C82" w:rsidP="000F7C82">
            <w:pPr>
              <w:ind w:left="-110" w:right="-106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Доходы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925B" w14:textId="3F8219E4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3 152 751,66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9CDA" w14:textId="0839721B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4 916,00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3156" w14:textId="57AC341F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776D" w14:textId="5211BDC0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5981" w14:textId="313EA6F2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7997" w14:textId="07088B16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608F7" w:rsidRPr="007608F7" w14:paraId="20EA46B3" w14:textId="77777777" w:rsidTr="000F7C82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01F6" w14:textId="5BABF5C7" w:rsidR="000F7C82" w:rsidRPr="007608F7" w:rsidRDefault="000F7C82" w:rsidP="000F7C82">
            <w:pPr>
              <w:ind w:left="-110" w:right="-106"/>
              <w:jc w:val="center"/>
              <w:rPr>
                <w:b/>
                <w:bCs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Возврат остатков МБТ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22E4" w14:textId="0ADEA1EB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-393 809,59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6D94" w14:textId="1FCF20EB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-252 244,54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9E0E" w14:textId="5C18BDEF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7062" w14:textId="4DE55152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054B" w14:textId="1620E1D5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CFBD" w14:textId="1F882970" w:rsidR="000F7C82" w:rsidRPr="007608F7" w:rsidRDefault="000F7C82" w:rsidP="000F7C82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7608F7"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14:paraId="56A70DFA" w14:textId="77777777" w:rsidR="007013BD" w:rsidRPr="007608F7" w:rsidRDefault="007013BD" w:rsidP="00EB4484">
      <w:pPr>
        <w:keepNext/>
        <w:widowControl w:val="0"/>
        <w:ind w:firstLine="709"/>
        <w:jc w:val="both"/>
        <w:rPr>
          <w:b/>
          <w:sz w:val="20"/>
          <w:szCs w:val="20"/>
          <w:highlight w:val="yellow"/>
        </w:rPr>
      </w:pPr>
    </w:p>
    <w:p w14:paraId="083165FD" w14:textId="77777777" w:rsidR="004D575D" w:rsidRPr="007608F7" w:rsidRDefault="004D575D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bCs/>
          <w:sz w:val="28"/>
          <w:szCs w:val="28"/>
        </w:rPr>
        <w:t xml:space="preserve">Прогнозируемый объем доходов, в размере, не менее которого утверждается </w:t>
      </w:r>
      <w:r w:rsidRPr="007608F7">
        <w:rPr>
          <w:sz w:val="28"/>
          <w:szCs w:val="28"/>
        </w:rPr>
        <w:t>объем бюджетных ассигнований муниципального дорожного фонда, составляет:</w:t>
      </w:r>
    </w:p>
    <w:p w14:paraId="6A224F0F" w14:textId="077F1C2A" w:rsidR="004D575D" w:rsidRPr="007608F7" w:rsidRDefault="004D575D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 – </w:t>
      </w:r>
      <w:r w:rsidR="003B47A3" w:rsidRPr="007608F7">
        <w:rPr>
          <w:sz w:val="28"/>
          <w:szCs w:val="28"/>
        </w:rPr>
        <w:t>417 491 800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 xml:space="preserve"> (</w:t>
      </w:r>
      <w:r w:rsidR="00940B05" w:rsidRPr="007608F7">
        <w:rPr>
          <w:sz w:val="28"/>
          <w:szCs w:val="28"/>
        </w:rPr>
        <w:t xml:space="preserve">без учета безвозмездных поступлений </w:t>
      </w:r>
      <w:r w:rsidR="00B2186E" w:rsidRPr="007608F7">
        <w:rPr>
          <w:sz w:val="28"/>
          <w:szCs w:val="28"/>
        </w:rPr>
        <w:t>–</w:t>
      </w:r>
      <w:r w:rsidR="00940B05" w:rsidRPr="007608F7">
        <w:rPr>
          <w:sz w:val="28"/>
          <w:szCs w:val="28"/>
        </w:rPr>
        <w:t xml:space="preserve"> </w:t>
      </w:r>
      <w:r w:rsidR="003B47A3" w:rsidRPr="007608F7">
        <w:rPr>
          <w:sz w:val="28"/>
          <w:szCs w:val="28"/>
        </w:rPr>
        <w:t>20 394 000,00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>),</w:t>
      </w:r>
    </w:p>
    <w:p w14:paraId="413FDC79" w14:textId="2BD879AA" w:rsidR="004D575D" w:rsidRPr="007608F7" w:rsidRDefault="004D575D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 год – </w:t>
      </w:r>
      <w:r w:rsidR="003B47A3" w:rsidRPr="007608F7">
        <w:rPr>
          <w:sz w:val="28"/>
          <w:szCs w:val="28"/>
        </w:rPr>
        <w:t>21 013 800,00</w:t>
      </w:r>
      <w:r w:rsidR="005A06EA" w:rsidRPr="007608F7">
        <w:rPr>
          <w:sz w:val="28"/>
          <w:szCs w:val="28"/>
        </w:rPr>
        <w:t xml:space="preserve"> рублей</w:t>
      </w:r>
      <w:r w:rsidR="00940B05" w:rsidRPr="007608F7">
        <w:rPr>
          <w:sz w:val="28"/>
          <w:szCs w:val="28"/>
        </w:rPr>
        <w:t xml:space="preserve"> (без учета безвозмездных поступлений </w:t>
      </w:r>
      <w:r w:rsidR="00B2186E" w:rsidRPr="007608F7">
        <w:rPr>
          <w:sz w:val="28"/>
          <w:szCs w:val="28"/>
        </w:rPr>
        <w:t>–</w:t>
      </w:r>
      <w:r w:rsidR="00940B05" w:rsidRPr="007608F7">
        <w:rPr>
          <w:sz w:val="28"/>
          <w:szCs w:val="28"/>
        </w:rPr>
        <w:t xml:space="preserve"> </w:t>
      </w:r>
      <w:r w:rsidR="003B47A3" w:rsidRPr="007608F7">
        <w:rPr>
          <w:sz w:val="28"/>
          <w:szCs w:val="28"/>
        </w:rPr>
        <w:t>21 013 800,00</w:t>
      </w:r>
      <w:r w:rsidR="005A06EA" w:rsidRPr="007608F7">
        <w:rPr>
          <w:sz w:val="28"/>
          <w:szCs w:val="28"/>
        </w:rPr>
        <w:t xml:space="preserve"> рублей</w:t>
      </w:r>
      <w:r w:rsidRPr="007608F7">
        <w:rPr>
          <w:sz w:val="28"/>
          <w:szCs w:val="28"/>
        </w:rPr>
        <w:t>),</w:t>
      </w:r>
    </w:p>
    <w:p w14:paraId="1567B4D9" w14:textId="5CED0F3E" w:rsidR="00FC7B45" w:rsidRPr="007608F7" w:rsidRDefault="004D575D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 xml:space="preserve"> год – </w:t>
      </w:r>
      <w:r w:rsidR="003B47A3" w:rsidRPr="007608F7">
        <w:rPr>
          <w:sz w:val="28"/>
          <w:szCs w:val="28"/>
        </w:rPr>
        <w:t>21 743 100,</w:t>
      </w:r>
      <w:r w:rsidR="00BA60FA" w:rsidRPr="007608F7">
        <w:rPr>
          <w:sz w:val="28"/>
          <w:szCs w:val="28"/>
        </w:rPr>
        <w:t>00</w:t>
      </w:r>
      <w:r w:rsidR="005A06EA" w:rsidRPr="007608F7">
        <w:rPr>
          <w:sz w:val="28"/>
          <w:szCs w:val="28"/>
        </w:rPr>
        <w:t xml:space="preserve"> рублей</w:t>
      </w:r>
      <w:r w:rsidR="00940B05" w:rsidRPr="007608F7">
        <w:rPr>
          <w:sz w:val="28"/>
          <w:szCs w:val="28"/>
        </w:rPr>
        <w:t xml:space="preserve"> (без учета безвозмездных поступлений</w:t>
      </w:r>
      <w:r w:rsidR="004C11F5" w:rsidRPr="007608F7">
        <w:rPr>
          <w:sz w:val="28"/>
          <w:szCs w:val="28"/>
        </w:rPr>
        <w:t xml:space="preserve"> </w:t>
      </w:r>
      <w:r w:rsidR="003B47A3" w:rsidRPr="007608F7">
        <w:rPr>
          <w:sz w:val="28"/>
          <w:szCs w:val="28"/>
        </w:rPr>
        <w:t>21 743 100,00</w:t>
      </w:r>
      <w:r w:rsidR="00BA60FA" w:rsidRPr="007608F7">
        <w:rPr>
          <w:sz w:val="28"/>
          <w:szCs w:val="28"/>
        </w:rPr>
        <w:t xml:space="preserve"> рублей</w:t>
      </w:r>
      <w:r w:rsidR="00940B05" w:rsidRPr="007608F7">
        <w:rPr>
          <w:sz w:val="28"/>
          <w:szCs w:val="28"/>
        </w:rPr>
        <w:t>).</w:t>
      </w:r>
    </w:p>
    <w:p w14:paraId="469194D1" w14:textId="77777777" w:rsidR="00750648" w:rsidRPr="007608F7" w:rsidRDefault="0086059D" w:rsidP="00EB4484">
      <w:pPr>
        <w:widowControl w:val="0"/>
        <w:jc w:val="both"/>
        <w:rPr>
          <w:sz w:val="4"/>
          <w:szCs w:val="4"/>
          <w:highlight w:val="yellow"/>
        </w:rPr>
        <w:sectPr w:rsidR="00750648" w:rsidRPr="007608F7" w:rsidSect="00272DD5">
          <w:headerReference w:type="even" r:id="rId8"/>
          <w:headerReference w:type="default" r:id="rId9"/>
          <w:pgSz w:w="11906" w:h="16838" w:code="9"/>
          <w:pgMar w:top="1134" w:right="567" w:bottom="1134" w:left="1134" w:header="567" w:footer="567" w:gutter="0"/>
          <w:pgNumType w:start="1"/>
          <w:cols w:space="708"/>
          <w:docGrid w:linePitch="360"/>
        </w:sectPr>
      </w:pPr>
      <w:r w:rsidRPr="007608F7">
        <w:rPr>
          <w:sz w:val="4"/>
          <w:szCs w:val="4"/>
          <w:highlight w:val="yellow"/>
        </w:rPr>
        <w:t>3</w:t>
      </w:r>
    </w:p>
    <w:p w14:paraId="5A06E14D" w14:textId="77777777" w:rsidR="00856C45" w:rsidRPr="007608F7" w:rsidRDefault="00856C45" w:rsidP="00EB4484">
      <w:pPr>
        <w:widowControl w:val="0"/>
        <w:ind w:firstLine="709"/>
        <w:jc w:val="center"/>
        <w:rPr>
          <w:b/>
          <w:sz w:val="28"/>
          <w:szCs w:val="28"/>
        </w:rPr>
      </w:pPr>
      <w:r w:rsidRPr="007608F7">
        <w:rPr>
          <w:b/>
          <w:sz w:val="28"/>
          <w:szCs w:val="28"/>
        </w:rPr>
        <w:t>Источники внутреннего финансирования дефицита бюджета</w:t>
      </w:r>
    </w:p>
    <w:p w14:paraId="54FE3CD5" w14:textId="33F695EF" w:rsidR="0007288F" w:rsidRPr="007608F7" w:rsidRDefault="00C24D73" w:rsidP="00EB4484">
      <w:pPr>
        <w:widowControl w:val="0"/>
        <w:ind w:firstLine="709"/>
        <w:jc w:val="both"/>
        <w:rPr>
          <w:b/>
          <w:sz w:val="8"/>
          <w:szCs w:val="8"/>
          <w:highlight w:val="yellow"/>
        </w:rPr>
      </w:pPr>
      <w:r w:rsidRPr="007608F7">
        <w:rPr>
          <w:b/>
          <w:noProof/>
          <w:sz w:val="8"/>
          <w:szCs w:val="8"/>
          <w:highlight w:val="yellow"/>
        </w:rPr>
        <w:object w:dxaOrig="1440" w:dyaOrig="1440" w14:anchorId="409266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.7pt;margin-top:10.45pt;width:506.45pt;height:127.3pt;z-index:251658240" wrapcoords="-31 0 -31 21371 21600 21371 21600 0 -31 0">
            <v:imagedata r:id="rId10" o:title=""/>
            <o:lock v:ext="edit" aspectratio="f"/>
            <w10:wrap type="tight"/>
          </v:shape>
          <o:OLEObject Type="Embed" ProgID="Excel.Sheet.8" ShapeID="_x0000_s1026" DrawAspect="Content" ObjectID="_1762146426" r:id="rId11"/>
        </w:object>
      </w:r>
    </w:p>
    <w:p w14:paraId="3870ACDE" w14:textId="3F081411" w:rsidR="00856C45" w:rsidRPr="007608F7" w:rsidRDefault="00856C45" w:rsidP="00EB4484">
      <w:pPr>
        <w:widowControl w:val="0"/>
        <w:jc w:val="center"/>
        <w:rPr>
          <w:sz w:val="8"/>
          <w:szCs w:val="8"/>
          <w:highlight w:val="yellow"/>
        </w:rPr>
      </w:pPr>
    </w:p>
    <w:p w14:paraId="55A4934B" w14:textId="091396C0" w:rsidR="00E445AA" w:rsidRPr="007608F7" w:rsidRDefault="00E445AA" w:rsidP="00EB4484">
      <w:pPr>
        <w:widowControl w:val="0"/>
        <w:jc w:val="both"/>
        <w:rPr>
          <w:sz w:val="8"/>
          <w:szCs w:val="8"/>
          <w:highlight w:val="yellow"/>
        </w:rPr>
      </w:pPr>
    </w:p>
    <w:p w14:paraId="25B38B80" w14:textId="715E3F23" w:rsidR="007426E4" w:rsidRPr="007608F7" w:rsidRDefault="00856C45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Дефицит бюджета города </w:t>
      </w:r>
      <w:r w:rsidR="00EF6B39" w:rsidRPr="007608F7">
        <w:rPr>
          <w:sz w:val="28"/>
          <w:szCs w:val="28"/>
        </w:rPr>
        <w:t xml:space="preserve">от утвержденного общего годового объема доходов бюджета города, без учета утвержденного объема безвозмездных поступлений </w:t>
      </w:r>
      <w:r w:rsidR="007426E4" w:rsidRPr="007608F7">
        <w:rPr>
          <w:sz w:val="28"/>
          <w:szCs w:val="28"/>
        </w:rPr>
        <w:t>составляет:</w:t>
      </w:r>
    </w:p>
    <w:p w14:paraId="73FB6C83" w14:textId="5C230F33" w:rsidR="00856C45" w:rsidRPr="007608F7" w:rsidRDefault="00856C45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> год</w:t>
      </w:r>
      <w:r w:rsidR="00EF6B39" w:rsidRPr="007608F7">
        <w:rPr>
          <w:sz w:val="28"/>
          <w:szCs w:val="28"/>
        </w:rPr>
        <w:t>:</w:t>
      </w:r>
      <w:r w:rsidRPr="007608F7">
        <w:rPr>
          <w:sz w:val="28"/>
          <w:szCs w:val="28"/>
        </w:rPr>
        <w:t xml:space="preserve"> </w:t>
      </w:r>
      <w:r w:rsidR="00AC3409" w:rsidRPr="007608F7">
        <w:rPr>
          <w:sz w:val="28"/>
          <w:szCs w:val="28"/>
        </w:rPr>
        <w:t>7,49</w:t>
      </w:r>
      <w:r w:rsidR="007A32E6" w:rsidRPr="007608F7">
        <w:rPr>
          <w:sz w:val="28"/>
          <w:szCs w:val="28"/>
        </w:rPr>
        <w:t>%</w:t>
      </w:r>
      <w:r w:rsidR="00EF6B39" w:rsidRPr="007608F7">
        <w:rPr>
          <w:sz w:val="28"/>
          <w:szCs w:val="28"/>
        </w:rPr>
        <w:t xml:space="preserve"> или </w:t>
      </w:r>
      <w:r w:rsidR="00AC3409" w:rsidRPr="007608F7">
        <w:rPr>
          <w:sz w:val="28"/>
          <w:szCs w:val="28"/>
        </w:rPr>
        <w:t>57 700 050,15</w:t>
      </w:r>
      <w:r w:rsidR="0087276F" w:rsidRPr="007608F7">
        <w:rPr>
          <w:sz w:val="28"/>
          <w:szCs w:val="28"/>
        </w:rPr>
        <w:t> руб</w:t>
      </w:r>
      <w:r w:rsidR="007A32E6" w:rsidRPr="007608F7">
        <w:rPr>
          <w:sz w:val="28"/>
          <w:szCs w:val="28"/>
        </w:rPr>
        <w:t>.</w:t>
      </w:r>
      <w:r w:rsidR="00EF6B39" w:rsidRPr="007608F7">
        <w:rPr>
          <w:sz w:val="28"/>
          <w:szCs w:val="28"/>
        </w:rPr>
        <w:t>,</w:t>
      </w:r>
    </w:p>
    <w:p w14:paraId="0F7ED494" w14:textId="672C09A4" w:rsidR="007426E4" w:rsidRPr="007608F7" w:rsidRDefault="007426E4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> год</w:t>
      </w:r>
      <w:r w:rsidR="00EF6B39" w:rsidRPr="007608F7">
        <w:rPr>
          <w:sz w:val="28"/>
          <w:szCs w:val="28"/>
        </w:rPr>
        <w:t>:</w:t>
      </w:r>
      <w:r w:rsidRPr="007608F7">
        <w:rPr>
          <w:sz w:val="28"/>
          <w:szCs w:val="28"/>
        </w:rPr>
        <w:t xml:space="preserve"> </w:t>
      </w:r>
      <w:r w:rsidR="00AC3409" w:rsidRPr="007608F7">
        <w:rPr>
          <w:sz w:val="28"/>
          <w:szCs w:val="28"/>
        </w:rPr>
        <w:t>7,49</w:t>
      </w:r>
      <w:r w:rsidR="007870D3" w:rsidRPr="007608F7">
        <w:rPr>
          <w:sz w:val="28"/>
          <w:szCs w:val="28"/>
        </w:rPr>
        <w:t>%</w:t>
      </w:r>
      <w:r w:rsidR="00EF6B39" w:rsidRPr="007608F7">
        <w:rPr>
          <w:sz w:val="28"/>
          <w:szCs w:val="28"/>
        </w:rPr>
        <w:t xml:space="preserve"> или </w:t>
      </w:r>
      <w:r w:rsidR="00AC3409" w:rsidRPr="007608F7">
        <w:rPr>
          <w:sz w:val="28"/>
          <w:szCs w:val="28"/>
        </w:rPr>
        <w:t>60 200 006,32</w:t>
      </w:r>
      <w:r w:rsidR="007C3200" w:rsidRPr="007608F7">
        <w:rPr>
          <w:sz w:val="28"/>
          <w:szCs w:val="28"/>
        </w:rPr>
        <w:t> </w:t>
      </w:r>
      <w:r w:rsidRPr="007608F7">
        <w:rPr>
          <w:sz w:val="28"/>
          <w:szCs w:val="28"/>
        </w:rPr>
        <w:t>руб</w:t>
      </w:r>
      <w:r w:rsidR="007A32E6" w:rsidRPr="007608F7">
        <w:rPr>
          <w:sz w:val="28"/>
          <w:szCs w:val="28"/>
        </w:rPr>
        <w:t>.</w:t>
      </w:r>
      <w:r w:rsidR="00EF6B39" w:rsidRPr="007608F7">
        <w:rPr>
          <w:sz w:val="28"/>
          <w:szCs w:val="28"/>
        </w:rPr>
        <w:t>,</w:t>
      </w:r>
    </w:p>
    <w:p w14:paraId="0FADF654" w14:textId="32BBF813" w:rsidR="007426E4" w:rsidRPr="007608F7" w:rsidRDefault="007426E4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> год</w:t>
      </w:r>
      <w:r w:rsidR="00EF6B39" w:rsidRPr="007608F7">
        <w:rPr>
          <w:sz w:val="28"/>
          <w:szCs w:val="28"/>
        </w:rPr>
        <w:t>:</w:t>
      </w:r>
      <w:r w:rsidRPr="007608F7">
        <w:rPr>
          <w:sz w:val="28"/>
          <w:szCs w:val="28"/>
        </w:rPr>
        <w:t xml:space="preserve"> </w:t>
      </w:r>
      <w:r w:rsidR="00AC3409" w:rsidRPr="007608F7">
        <w:rPr>
          <w:sz w:val="28"/>
          <w:szCs w:val="28"/>
        </w:rPr>
        <w:t>7,49</w:t>
      </w:r>
      <w:r w:rsidR="009A093E" w:rsidRPr="007608F7">
        <w:rPr>
          <w:sz w:val="28"/>
          <w:szCs w:val="28"/>
        </w:rPr>
        <w:t>%</w:t>
      </w:r>
      <w:r w:rsidR="00EF6B39" w:rsidRPr="007608F7">
        <w:rPr>
          <w:sz w:val="28"/>
          <w:szCs w:val="28"/>
        </w:rPr>
        <w:t xml:space="preserve"> или</w:t>
      </w:r>
      <w:r w:rsidR="005D5A5A" w:rsidRPr="007608F7">
        <w:rPr>
          <w:sz w:val="28"/>
          <w:szCs w:val="28"/>
        </w:rPr>
        <w:t xml:space="preserve"> </w:t>
      </w:r>
      <w:r w:rsidR="00AC3409" w:rsidRPr="007608F7">
        <w:rPr>
          <w:sz w:val="28"/>
          <w:szCs w:val="28"/>
        </w:rPr>
        <w:t>62 700 111,66</w:t>
      </w:r>
      <w:r w:rsidRPr="007608F7">
        <w:rPr>
          <w:sz w:val="28"/>
          <w:szCs w:val="28"/>
        </w:rPr>
        <w:t> руб</w:t>
      </w:r>
      <w:r w:rsidR="00CD3830" w:rsidRPr="007608F7">
        <w:rPr>
          <w:sz w:val="28"/>
          <w:szCs w:val="28"/>
        </w:rPr>
        <w:t>.</w:t>
      </w:r>
    </w:p>
    <w:p w14:paraId="1FCFAFB6" w14:textId="77C1DD40" w:rsidR="00DA67D0" w:rsidRPr="007608F7" w:rsidRDefault="00DA67D0" w:rsidP="00EB4484">
      <w:pPr>
        <w:widowControl w:val="0"/>
        <w:ind w:firstLine="72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В связи с привлечением бюджетных кредитов муниципальное образование взяло на себя дополнительные обязательства по ограничению процента дефицита в границах 7,5%.</w:t>
      </w:r>
    </w:p>
    <w:p w14:paraId="39289741" w14:textId="107BA02A" w:rsidR="009A093E" w:rsidRPr="007608F7" w:rsidRDefault="009A093E" w:rsidP="00EB4484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14:paraId="49BC940B" w14:textId="77777777" w:rsidR="006374C3" w:rsidRPr="007608F7" w:rsidRDefault="006374C3" w:rsidP="00EB4484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7608F7">
        <w:rPr>
          <w:b/>
          <w:bCs/>
          <w:i/>
          <w:iCs/>
          <w:sz w:val="28"/>
          <w:szCs w:val="28"/>
        </w:rPr>
        <w:t>Верхний предел муниципального внутреннего долга по состоянию на 1 января года, следующего за очередным финансовым годом и каждым годом планового периода</w:t>
      </w:r>
    </w:p>
    <w:p w14:paraId="62883872" w14:textId="7AAFEF38" w:rsidR="00795908" w:rsidRPr="007608F7" w:rsidRDefault="00E445AA" w:rsidP="00EB44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Расчет верхнего предела муниципального внутреннего долга осуществлен </w:t>
      </w:r>
      <w:r w:rsidR="000950E4" w:rsidRPr="007608F7">
        <w:rPr>
          <w:sz w:val="28"/>
          <w:szCs w:val="28"/>
        </w:rPr>
        <w:t>исходя из верхнего предела муниципального внутреннего долга</w:t>
      </w:r>
      <w:r w:rsidR="00AC3409" w:rsidRPr="007608F7">
        <w:rPr>
          <w:sz w:val="28"/>
          <w:szCs w:val="28"/>
        </w:rPr>
        <w:t>:</w:t>
      </w:r>
    </w:p>
    <w:p w14:paraId="1EEA4E13" w14:textId="0503831C" w:rsidR="006374C3" w:rsidRPr="007608F7" w:rsidRDefault="006374C3" w:rsidP="00EB44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608F7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57009" w:rsidRPr="007608F7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DE0A2B" w:rsidRPr="007608F7">
        <w:rPr>
          <w:rFonts w:ascii="Times New Roman" w:hAnsi="Times New Roman" w:cs="Times New Roman"/>
          <w:sz w:val="28"/>
          <w:szCs w:val="28"/>
        </w:rPr>
        <w:t>2025</w:t>
      </w:r>
      <w:r w:rsidR="003F7261" w:rsidRPr="007608F7">
        <w:rPr>
          <w:rFonts w:ascii="Times New Roman" w:hAnsi="Times New Roman" w:cs="Times New Roman"/>
          <w:sz w:val="28"/>
          <w:szCs w:val="28"/>
        </w:rPr>
        <w:t xml:space="preserve"> года:</w:t>
      </w:r>
      <w:r w:rsidR="00965B98" w:rsidRPr="007608F7">
        <w:rPr>
          <w:rFonts w:ascii="Times New Roman" w:hAnsi="Times New Roman" w:cs="Times New Roman"/>
          <w:sz w:val="28"/>
          <w:szCs w:val="28"/>
        </w:rPr>
        <w:t xml:space="preserve"> </w:t>
      </w:r>
      <w:r w:rsidR="004C1717" w:rsidRPr="007608F7">
        <w:rPr>
          <w:rFonts w:ascii="Times New Roman" w:hAnsi="Times New Roman" w:cs="Times New Roman"/>
          <w:sz w:val="28"/>
          <w:szCs w:val="28"/>
        </w:rPr>
        <w:t>203 248 669,90</w:t>
      </w:r>
      <w:r w:rsidR="007870D3" w:rsidRPr="007608F7">
        <w:rPr>
          <w:rFonts w:ascii="Times New Roman" w:hAnsi="Times New Roman" w:cs="Times New Roman"/>
          <w:sz w:val="28"/>
          <w:szCs w:val="28"/>
        </w:rPr>
        <w:t xml:space="preserve"> руб.</w:t>
      </w:r>
      <w:r w:rsidRPr="007608F7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- 0</w:t>
      </w:r>
      <w:r w:rsidR="00C1246E" w:rsidRPr="007608F7">
        <w:rPr>
          <w:rFonts w:ascii="Times New Roman" w:hAnsi="Times New Roman" w:cs="Times New Roman"/>
          <w:sz w:val="28"/>
          <w:szCs w:val="28"/>
        </w:rPr>
        <w:t xml:space="preserve"> </w:t>
      </w:r>
      <w:r w:rsidR="00FF6E69" w:rsidRPr="007608F7">
        <w:rPr>
          <w:rFonts w:ascii="Times New Roman" w:hAnsi="Times New Roman" w:cs="Times New Roman"/>
          <w:sz w:val="28"/>
          <w:szCs w:val="28"/>
        </w:rPr>
        <w:t>рубл</w:t>
      </w:r>
      <w:r w:rsidR="0014227E" w:rsidRPr="007608F7">
        <w:rPr>
          <w:rFonts w:ascii="Times New Roman" w:hAnsi="Times New Roman" w:cs="Times New Roman"/>
          <w:sz w:val="28"/>
          <w:szCs w:val="28"/>
        </w:rPr>
        <w:t>ей</w:t>
      </w:r>
      <w:r w:rsidR="00C1246E" w:rsidRPr="007608F7">
        <w:rPr>
          <w:rFonts w:ascii="Times New Roman" w:hAnsi="Times New Roman" w:cs="Times New Roman"/>
          <w:sz w:val="28"/>
          <w:szCs w:val="28"/>
        </w:rPr>
        <w:t>,</w:t>
      </w:r>
    </w:p>
    <w:p w14:paraId="1DC1EE85" w14:textId="373CFDC3" w:rsidR="006374C3" w:rsidRPr="007608F7" w:rsidRDefault="006374C3" w:rsidP="00EB44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608F7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57009" w:rsidRPr="007608F7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DE0A2B" w:rsidRPr="007608F7">
        <w:rPr>
          <w:rFonts w:ascii="Times New Roman" w:hAnsi="Times New Roman" w:cs="Times New Roman"/>
          <w:sz w:val="28"/>
          <w:szCs w:val="28"/>
        </w:rPr>
        <w:t>2026</w:t>
      </w:r>
      <w:r w:rsidRPr="007608F7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7261" w:rsidRPr="007608F7">
        <w:rPr>
          <w:rFonts w:ascii="Times New Roman" w:hAnsi="Times New Roman" w:cs="Times New Roman"/>
          <w:sz w:val="28"/>
          <w:szCs w:val="28"/>
        </w:rPr>
        <w:t>:</w:t>
      </w:r>
      <w:r w:rsidR="00D30B99" w:rsidRPr="007608F7">
        <w:rPr>
          <w:rFonts w:ascii="Times New Roman" w:hAnsi="Times New Roman" w:cs="Times New Roman"/>
          <w:sz w:val="28"/>
          <w:szCs w:val="28"/>
        </w:rPr>
        <w:t xml:space="preserve"> </w:t>
      </w:r>
      <w:r w:rsidR="004C1717" w:rsidRPr="007608F7">
        <w:rPr>
          <w:rFonts w:ascii="Times New Roman" w:hAnsi="Times New Roman" w:cs="Times New Roman"/>
          <w:sz w:val="28"/>
          <w:szCs w:val="28"/>
        </w:rPr>
        <w:t>263 440 676,22</w:t>
      </w:r>
      <w:r w:rsidR="007870D3" w:rsidRPr="007608F7">
        <w:rPr>
          <w:rFonts w:ascii="Times New Roman" w:hAnsi="Times New Roman" w:cs="Times New Roman"/>
          <w:sz w:val="28"/>
          <w:szCs w:val="28"/>
        </w:rPr>
        <w:t xml:space="preserve"> р</w:t>
      </w:r>
      <w:r w:rsidR="00DA67D0" w:rsidRPr="007608F7">
        <w:rPr>
          <w:rFonts w:ascii="Times New Roman" w:hAnsi="Times New Roman" w:cs="Times New Roman"/>
          <w:sz w:val="28"/>
          <w:szCs w:val="28"/>
        </w:rPr>
        <w:t>уб</w:t>
      </w:r>
      <w:r w:rsidR="007A32E6" w:rsidRPr="007608F7">
        <w:rPr>
          <w:rFonts w:ascii="Times New Roman" w:hAnsi="Times New Roman" w:cs="Times New Roman"/>
          <w:sz w:val="28"/>
          <w:szCs w:val="28"/>
        </w:rPr>
        <w:t>.</w:t>
      </w:r>
      <w:r w:rsidRPr="007608F7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</w:t>
      </w:r>
      <w:r w:rsidR="00C1246E" w:rsidRPr="007608F7">
        <w:rPr>
          <w:rFonts w:ascii="Times New Roman" w:hAnsi="Times New Roman" w:cs="Times New Roman"/>
          <w:sz w:val="28"/>
          <w:szCs w:val="28"/>
        </w:rPr>
        <w:t xml:space="preserve">ципальным гарантиям - 0 </w:t>
      </w:r>
      <w:r w:rsidR="00FF6E69" w:rsidRPr="007608F7">
        <w:rPr>
          <w:rFonts w:ascii="Times New Roman" w:hAnsi="Times New Roman" w:cs="Times New Roman"/>
          <w:sz w:val="28"/>
          <w:szCs w:val="28"/>
        </w:rPr>
        <w:t>рубл</w:t>
      </w:r>
      <w:r w:rsidR="0014227E" w:rsidRPr="007608F7">
        <w:rPr>
          <w:rFonts w:ascii="Times New Roman" w:hAnsi="Times New Roman" w:cs="Times New Roman"/>
          <w:sz w:val="28"/>
          <w:szCs w:val="28"/>
        </w:rPr>
        <w:t>ей</w:t>
      </w:r>
      <w:r w:rsidR="00C1246E" w:rsidRPr="007608F7">
        <w:rPr>
          <w:rFonts w:ascii="Times New Roman" w:hAnsi="Times New Roman" w:cs="Times New Roman"/>
          <w:sz w:val="28"/>
          <w:szCs w:val="28"/>
        </w:rPr>
        <w:t>,</w:t>
      </w:r>
    </w:p>
    <w:p w14:paraId="33E81FF6" w14:textId="77715597" w:rsidR="001A5E9A" w:rsidRPr="007608F7" w:rsidRDefault="006374C3" w:rsidP="00EB44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608F7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57009" w:rsidRPr="007608F7">
        <w:rPr>
          <w:rFonts w:ascii="Times New Roman" w:hAnsi="Times New Roman" w:cs="Times New Roman"/>
          <w:sz w:val="28"/>
          <w:szCs w:val="28"/>
        </w:rPr>
        <w:t>января 20</w:t>
      </w:r>
      <w:r w:rsidR="00A9221F" w:rsidRPr="007608F7">
        <w:rPr>
          <w:rFonts w:ascii="Times New Roman" w:hAnsi="Times New Roman" w:cs="Times New Roman"/>
          <w:sz w:val="28"/>
          <w:szCs w:val="28"/>
        </w:rPr>
        <w:t>2</w:t>
      </w:r>
      <w:r w:rsidR="00AC3409" w:rsidRPr="007608F7">
        <w:rPr>
          <w:rFonts w:ascii="Times New Roman" w:hAnsi="Times New Roman" w:cs="Times New Roman"/>
          <w:sz w:val="28"/>
          <w:szCs w:val="28"/>
        </w:rPr>
        <w:t>7</w:t>
      </w:r>
      <w:r w:rsidRPr="007608F7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7261" w:rsidRPr="007608F7">
        <w:rPr>
          <w:rFonts w:ascii="Times New Roman" w:hAnsi="Times New Roman" w:cs="Times New Roman"/>
          <w:sz w:val="28"/>
          <w:szCs w:val="28"/>
        </w:rPr>
        <w:t>:</w:t>
      </w:r>
      <w:r w:rsidR="00DA67D0" w:rsidRPr="007608F7">
        <w:rPr>
          <w:rFonts w:ascii="Times New Roman" w:hAnsi="Times New Roman" w:cs="Times New Roman"/>
          <w:sz w:val="28"/>
          <w:szCs w:val="28"/>
        </w:rPr>
        <w:t xml:space="preserve"> </w:t>
      </w:r>
      <w:r w:rsidR="004C1717" w:rsidRPr="007608F7">
        <w:rPr>
          <w:rFonts w:ascii="Times New Roman" w:hAnsi="Times New Roman" w:cs="Times New Roman"/>
          <w:sz w:val="28"/>
          <w:szCs w:val="28"/>
        </w:rPr>
        <w:t>326 148 787,88</w:t>
      </w:r>
      <w:r w:rsidR="007870D3" w:rsidRPr="007608F7">
        <w:rPr>
          <w:rFonts w:ascii="Times New Roman" w:hAnsi="Times New Roman" w:cs="Times New Roman"/>
          <w:sz w:val="28"/>
          <w:szCs w:val="28"/>
        </w:rPr>
        <w:t xml:space="preserve"> руб.</w:t>
      </w:r>
      <w:r w:rsidRPr="007608F7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муниципальным гарантиям - 0 </w:t>
      </w:r>
      <w:r w:rsidR="00FF6E69" w:rsidRPr="007608F7">
        <w:rPr>
          <w:rFonts w:ascii="Times New Roman" w:hAnsi="Times New Roman" w:cs="Times New Roman"/>
          <w:sz w:val="28"/>
          <w:szCs w:val="28"/>
        </w:rPr>
        <w:t>рубл</w:t>
      </w:r>
      <w:r w:rsidR="0014227E" w:rsidRPr="007608F7">
        <w:rPr>
          <w:rFonts w:ascii="Times New Roman" w:hAnsi="Times New Roman" w:cs="Times New Roman"/>
          <w:sz w:val="28"/>
          <w:szCs w:val="28"/>
        </w:rPr>
        <w:t>ей</w:t>
      </w:r>
      <w:r w:rsidRPr="007608F7">
        <w:rPr>
          <w:rFonts w:ascii="Times New Roman" w:hAnsi="Times New Roman" w:cs="Times New Roman"/>
          <w:sz w:val="28"/>
          <w:szCs w:val="28"/>
        </w:rPr>
        <w:t>.</w:t>
      </w:r>
    </w:p>
    <w:p w14:paraId="25DF617A" w14:textId="77777777" w:rsidR="007870D3" w:rsidRPr="007608F7" w:rsidRDefault="007870D3" w:rsidP="00EB4484">
      <w:pPr>
        <w:widowControl w:val="0"/>
        <w:jc w:val="both"/>
        <w:rPr>
          <w:sz w:val="28"/>
          <w:szCs w:val="28"/>
          <w:highlight w:val="yellow"/>
          <w:u w:val="single"/>
        </w:rPr>
      </w:pPr>
    </w:p>
    <w:p w14:paraId="1C103058" w14:textId="77777777" w:rsidR="00A40E00" w:rsidRPr="007608F7" w:rsidRDefault="003C7B72" w:rsidP="00EB4484">
      <w:pPr>
        <w:widowControl w:val="0"/>
        <w:jc w:val="both"/>
        <w:rPr>
          <w:sz w:val="28"/>
          <w:szCs w:val="28"/>
          <w:u w:val="single"/>
        </w:rPr>
      </w:pPr>
      <w:r w:rsidRPr="007608F7">
        <w:rPr>
          <w:sz w:val="28"/>
          <w:szCs w:val="28"/>
          <w:u w:val="single"/>
        </w:rPr>
        <w:t>П</w:t>
      </w:r>
      <w:r w:rsidR="00856C45" w:rsidRPr="007608F7">
        <w:rPr>
          <w:sz w:val="28"/>
          <w:szCs w:val="28"/>
          <w:u w:val="single"/>
        </w:rPr>
        <w:t>редельн</w:t>
      </w:r>
      <w:r w:rsidRPr="007608F7">
        <w:rPr>
          <w:sz w:val="28"/>
          <w:szCs w:val="28"/>
          <w:u w:val="single"/>
        </w:rPr>
        <w:t>ый</w:t>
      </w:r>
      <w:r w:rsidR="00856C45" w:rsidRPr="007608F7">
        <w:rPr>
          <w:sz w:val="28"/>
          <w:szCs w:val="28"/>
          <w:u w:val="single"/>
        </w:rPr>
        <w:t xml:space="preserve"> объем муниципального долга</w:t>
      </w:r>
    </w:p>
    <w:p w14:paraId="341B70D1" w14:textId="77777777" w:rsidR="00EA2BFB" w:rsidRPr="007608F7" w:rsidRDefault="00EA2BFB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Объем доходов без учета утвержденного объема безвозмездных поступлений </w:t>
      </w:r>
    </w:p>
    <w:p w14:paraId="1BC3DB65" w14:textId="608DFAFB" w:rsidR="00EA2BFB" w:rsidRPr="007608F7" w:rsidRDefault="00DE0A2B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2024</w:t>
      </w:r>
      <w:r w:rsidR="00EA2BFB" w:rsidRPr="007608F7">
        <w:rPr>
          <w:sz w:val="28"/>
          <w:szCs w:val="28"/>
        </w:rPr>
        <w:t xml:space="preserve"> год: </w:t>
      </w:r>
      <w:r w:rsidR="00EA2BFB" w:rsidRPr="007608F7">
        <w:rPr>
          <w:sz w:val="28"/>
          <w:szCs w:val="28"/>
        </w:rPr>
        <w:tab/>
      </w:r>
      <w:r w:rsidR="00AC3409" w:rsidRPr="007608F7">
        <w:rPr>
          <w:sz w:val="28"/>
          <w:szCs w:val="28"/>
        </w:rPr>
        <w:t>770 204 110,18</w:t>
      </w:r>
      <w:r w:rsidR="007C3200" w:rsidRPr="007608F7">
        <w:rPr>
          <w:sz w:val="28"/>
          <w:szCs w:val="28"/>
        </w:rPr>
        <w:t xml:space="preserve"> </w:t>
      </w:r>
      <w:r w:rsidR="00EA2BFB" w:rsidRPr="007608F7">
        <w:rPr>
          <w:sz w:val="28"/>
          <w:szCs w:val="28"/>
        </w:rPr>
        <w:t>руб.</w:t>
      </w:r>
      <w:r w:rsidR="0062672F" w:rsidRPr="007608F7">
        <w:rPr>
          <w:sz w:val="28"/>
          <w:szCs w:val="28"/>
        </w:rPr>
        <w:t>,</w:t>
      </w:r>
    </w:p>
    <w:p w14:paraId="43C46086" w14:textId="2B4A8557" w:rsidR="00EA2BFB" w:rsidRPr="007608F7" w:rsidRDefault="00DE0A2B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2025</w:t>
      </w:r>
      <w:r w:rsidR="00EA2BFB" w:rsidRPr="007608F7">
        <w:rPr>
          <w:sz w:val="28"/>
          <w:szCs w:val="28"/>
        </w:rPr>
        <w:t xml:space="preserve"> год: </w:t>
      </w:r>
      <w:r w:rsidR="00EA2BFB" w:rsidRPr="007608F7">
        <w:rPr>
          <w:sz w:val="28"/>
          <w:szCs w:val="28"/>
        </w:rPr>
        <w:tab/>
      </w:r>
      <w:r w:rsidR="00AC3409" w:rsidRPr="007608F7">
        <w:rPr>
          <w:sz w:val="28"/>
          <w:szCs w:val="28"/>
        </w:rPr>
        <w:t>804 070 598,23</w:t>
      </w:r>
      <w:r w:rsidR="0014227E" w:rsidRPr="007608F7">
        <w:rPr>
          <w:sz w:val="28"/>
          <w:szCs w:val="28"/>
        </w:rPr>
        <w:t xml:space="preserve"> р</w:t>
      </w:r>
      <w:r w:rsidR="00032EEF" w:rsidRPr="007608F7">
        <w:rPr>
          <w:sz w:val="28"/>
          <w:szCs w:val="28"/>
        </w:rPr>
        <w:t>уб.</w:t>
      </w:r>
      <w:r w:rsidR="0062672F" w:rsidRPr="007608F7">
        <w:rPr>
          <w:sz w:val="28"/>
          <w:szCs w:val="28"/>
        </w:rPr>
        <w:t>,</w:t>
      </w:r>
    </w:p>
    <w:p w14:paraId="5FB7BC4F" w14:textId="5D6447D6" w:rsidR="00EA2BFB" w:rsidRPr="007608F7" w:rsidRDefault="00DE0A2B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>2026</w:t>
      </w:r>
      <w:r w:rsidR="00EA2BFB" w:rsidRPr="007608F7">
        <w:rPr>
          <w:sz w:val="28"/>
          <w:szCs w:val="28"/>
        </w:rPr>
        <w:t xml:space="preserve"> год</w:t>
      </w:r>
      <w:r w:rsidR="00127FB1" w:rsidRPr="007608F7">
        <w:rPr>
          <w:sz w:val="28"/>
          <w:szCs w:val="28"/>
        </w:rPr>
        <w:t xml:space="preserve">: </w:t>
      </w:r>
      <w:r w:rsidR="00127FB1" w:rsidRPr="007608F7">
        <w:rPr>
          <w:sz w:val="28"/>
          <w:szCs w:val="28"/>
        </w:rPr>
        <w:tab/>
      </w:r>
      <w:r w:rsidR="00AC3409" w:rsidRPr="007608F7">
        <w:rPr>
          <w:sz w:val="28"/>
          <w:szCs w:val="28"/>
        </w:rPr>
        <w:t>836 589 047,09</w:t>
      </w:r>
      <w:r w:rsidR="007C3200" w:rsidRPr="007608F7">
        <w:rPr>
          <w:sz w:val="28"/>
          <w:szCs w:val="28"/>
        </w:rPr>
        <w:t xml:space="preserve"> </w:t>
      </w:r>
      <w:r w:rsidR="00EA2BFB" w:rsidRPr="007608F7">
        <w:rPr>
          <w:sz w:val="28"/>
          <w:szCs w:val="28"/>
        </w:rPr>
        <w:t>руб.</w:t>
      </w:r>
    </w:p>
    <w:p w14:paraId="26C0156B" w14:textId="77777777" w:rsidR="00216313" w:rsidRPr="007608F7" w:rsidRDefault="00216313" w:rsidP="00EB4484">
      <w:pPr>
        <w:widowControl w:val="0"/>
        <w:jc w:val="both"/>
        <w:rPr>
          <w:sz w:val="28"/>
          <w:szCs w:val="28"/>
          <w:highlight w:val="yellow"/>
        </w:rPr>
      </w:pPr>
    </w:p>
    <w:p w14:paraId="320260DF" w14:textId="77777777" w:rsidR="00856C45" w:rsidRPr="007608F7" w:rsidRDefault="00D96643" w:rsidP="00EB4484">
      <w:pPr>
        <w:widowControl w:val="0"/>
        <w:jc w:val="both"/>
        <w:rPr>
          <w:b/>
          <w:i/>
          <w:sz w:val="28"/>
          <w:szCs w:val="28"/>
        </w:rPr>
      </w:pPr>
      <w:r w:rsidRPr="007608F7">
        <w:rPr>
          <w:b/>
          <w:i/>
          <w:sz w:val="28"/>
          <w:szCs w:val="28"/>
        </w:rPr>
        <w:t>О</w:t>
      </w:r>
      <w:r w:rsidR="00856C45" w:rsidRPr="007608F7">
        <w:rPr>
          <w:b/>
          <w:i/>
          <w:sz w:val="28"/>
          <w:szCs w:val="28"/>
        </w:rPr>
        <w:t>бъем заемных средств, направляемых на покрытие дефицита бюджета</w:t>
      </w:r>
      <w:r w:rsidR="00532512" w:rsidRPr="007608F7">
        <w:rPr>
          <w:b/>
          <w:i/>
          <w:sz w:val="28"/>
          <w:szCs w:val="28"/>
        </w:rPr>
        <w:t xml:space="preserve"> и</w:t>
      </w:r>
      <w:r w:rsidR="00532512" w:rsidRPr="007608F7">
        <w:rPr>
          <w:b/>
          <w:bCs/>
          <w:iCs/>
        </w:rPr>
        <w:t xml:space="preserve"> </w:t>
      </w:r>
      <w:r w:rsidR="00532512" w:rsidRPr="007608F7">
        <w:rPr>
          <w:b/>
          <w:i/>
          <w:sz w:val="28"/>
          <w:szCs w:val="28"/>
        </w:rPr>
        <w:t>погашение долговых обязательств</w:t>
      </w:r>
      <w:r w:rsidR="00856C45" w:rsidRPr="007608F7">
        <w:rPr>
          <w:b/>
          <w:i/>
          <w:sz w:val="28"/>
          <w:szCs w:val="28"/>
        </w:rPr>
        <w:t>:</w:t>
      </w:r>
    </w:p>
    <w:p w14:paraId="204B0AEE" w14:textId="5AC0860D" w:rsidR="00856C45" w:rsidRPr="007608F7" w:rsidRDefault="007426E4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2024</w:t>
      </w:r>
      <w:r w:rsidRPr="007608F7">
        <w:rPr>
          <w:sz w:val="28"/>
          <w:szCs w:val="28"/>
        </w:rPr>
        <w:t xml:space="preserve"> год</w:t>
      </w:r>
      <w:r w:rsidR="00992B43" w:rsidRPr="007608F7">
        <w:rPr>
          <w:sz w:val="28"/>
          <w:szCs w:val="28"/>
        </w:rPr>
        <w:t>:</w:t>
      </w:r>
      <w:r w:rsidRPr="007608F7">
        <w:rPr>
          <w:sz w:val="28"/>
          <w:szCs w:val="28"/>
        </w:rPr>
        <w:t xml:space="preserve"> </w:t>
      </w:r>
      <w:r w:rsidR="004C1717" w:rsidRPr="007608F7">
        <w:rPr>
          <w:sz w:val="28"/>
          <w:szCs w:val="28"/>
        </w:rPr>
        <w:t>92 870 550,15</w:t>
      </w:r>
      <w:r w:rsidR="003E5666" w:rsidRPr="007608F7">
        <w:rPr>
          <w:sz w:val="28"/>
          <w:szCs w:val="28"/>
        </w:rPr>
        <w:t xml:space="preserve"> р</w:t>
      </w:r>
      <w:r w:rsidR="00216313" w:rsidRPr="007608F7">
        <w:rPr>
          <w:sz w:val="28"/>
          <w:szCs w:val="28"/>
        </w:rPr>
        <w:t>уб</w:t>
      </w:r>
      <w:r w:rsidR="007A32E6" w:rsidRPr="007608F7">
        <w:rPr>
          <w:sz w:val="28"/>
          <w:szCs w:val="28"/>
        </w:rPr>
        <w:t>.</w:t>
      </w:r>
      <w:r w:rsidR="005B22E4" w:rsidRPr="007608F7">
        <w:rPr>
          <w:sz w:val="28"/>
          <w:szCs w:val="28"/>
        </w:rPr>
        <w:t xml:space="preserve"> </w:t>
      </w:r>
      <w:r w:rsidR="00C1246E" w:rsidRPr="007608F7">
        <w:rPr>
          <w:sz w:val="28"/>
          <w:szCs w:val="28"/>
        </w:rPr>
        <w:t>(получение кредитов),</w:t>
      </w:r>
    </w:p>
    <w:p w14:paraId="79EEFD9C" w14:textId="74438909" w:rsidR="007426E4" w:rsidRPr="007608F7" w:rsidRDefault="007426E4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2025</w:t>
      </w:r>
      <w:r w:rsidRPr="007608F7">
        <w:rPr>
          <w:sz w:val="28"/>
          <w:szCs w:val="28"/>
        </w:rPr>
        <w:t xml:space="preserve"> год</w:t>
      </w:r>
      <w:r w:rsidR="00992B43" w:rsidRPr="007608F7">
        <w:rPr>
          <w:sz w:val="28"/>
          <w:szCs w:val="28"/>
        </w:rPr>
        <w:t>:</w:t>
      </w:r>
      <w:r w:rsidRPr="007608F7">
        <w:rPr>
          <w:sz w:val="28"/>
          <w:szCs w:val="28"/>
        </w:rPr>
        <w:t xml:space="preserve"> </w:t>
      </w:r>
      <w:r w:rsidR="004C1717" w:rsidRPr="007608F7">
        <w:rPr>
          <w:sz w:val="28"/>
          <w:szCs w:val="28"/>
        </w:rPr>
        <w:t>95 370 506,32</w:t>
      </w:r>
      <w:r w:rsidR="005B22E4" w:rsidRPr="007608F7">
        <w:rPr>
          <w:sz w:val="28"/>
          <w:szCs w:val="28"/>
        </w:rPr>
        <w:t> руб</w:t>
      </w:r>
      <w:r w:rsidR="007A32E6" w:rsidRPr="007608F7">
        <w:rPr>
          <w:sz w:val="28"/>
          <w:szCs w:val="28"/>
        </w:rPr>
        <w:t>.</w:t>
      </w:r>
      <w:r w:rsidR="00C1246E" w:rsidRPr="007608F7">
        <w:rPr>
          <w:sz w:val="28"/>
          <w:szCs w:val="28"/>
        </w:rPr>
        <w:t xml:space="preserve"> (получение кредитов),</w:t>
      </w:r>
    </w:p>
    <w:p w14:paraId="60844FDE" w14:textId="31049CB4" w:rsidR="007426E4" w:rsidRPr="007608F7" w:rsidRDefault="007426E4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на </w:t>
      </w:r>
      <w:r w:rsidR="00DE0A2B" w:rsidRPr="007608F7">
        <w:rPr>
          <w:sz w:val="28"/>
          <w:szCs w:val="28"/>
        </w:rPr>
        <w:t>2026</w:t>
      </w:r>
      <w:r w:rsidRPr="007608F7">
        <w:rPr>
          <w:sz w:val="28"/>
          <w:szCs w:val="28"/>
        </w:rPr>
        <w:t xml:space="preserve"> год</w:t>
      </w:r>
      <w:r w:rsidR="00992B43" w:rsidRPr="007608F7">
        <w:rPr>
          <w:sz w:val="28"/>
          <w:szCs w:val="28"/>
        </w:rPr>
        <w:t>:</w:t>
      </w:r>
      <w:r w:rsidRPr="007608F7">
        <w:rPr>
          <w:sz w:val="28"/>
          <w:szCs w:val="28"/>
        </w:rPr>
        <w:t xml:space="preserve"> </w:t>
      </w:r>
      <w:r w:rsidR="004C1717" w:rsidRPr="007608F7">
        <w:rPr>
          <w:sz w:val="28"/>
          <w:szCs w:val="28"/>
        </w:rPr>
        <w:t>161 534 661,81</w:t>
      </w:r>
      <w:r w:rsidR="003074F2" w:rsidRPr="007608F7">
        <w:rPr>
          <w:sz w:val="28"/>
          <w:szCs w:val="28"/>
        </w:rPr>
        <w:t> </w:t>
      </w:r>
      <w:r w:rsidR="000950E4" w:rsidRPr="007608F7">
        <w:rPr>
          <w:sz w:val="28"/>
          <w:szCs w:val="28"/>
        </w:rPr>
        <w:t>ру</w:t>
      </w:r>
      <w:r w:rsidR="007A32E6" w:rsidRPr="007608F7">
        <w:rPr>
          <w:sz w:val="28"/>
          <w:szCs w:val="28"/>
        </w:rPr>
        <w:t>б.</w:t>
      </w:r>
      <w:r w:rsidRPr="007608F7">
        <w:rPr>
          <w:sz w:val="28"/>
          <w:szCs w:val="28"/>
        </w:rPr>
        <w:t xml:space="preserve"> (получение кредитов).</w:t>
      </w:r>
    </w:p>
    <w:p w14:paraId="4EF8DDC6" w14:textId="0C1836C4" w:rsidR="00E445AA" w:rsidRPr="007608F7" w:rsidRDefault="00E445AA" w:rsidP="00EB4484">
      <w:pPr>
        <w:widowControl w:val="0"/>
        <w:jc w:val="both"/>
        <w:rPr>
          <w:sz w:val="28"/>
          <w:szCs w:val="28"/>
          <w:highlight w:val="yellow"/>
        </w:rPr>
      </w:pPr>
    </w:p>
    <w:p w14:paraId="6DC3424B" w14:textId="77777777" w:rsidR="003A16BE" w:rsidRPr="007608F7" w:rsidRDefault="003A16BE" w:rsidP="00EB4484">
      <w:pPr>
        <w:widowControl w:val="0"/>
        <w:jc w:val="both"/>
        <w:rPr>
          <w:sz w:val="28"/>
          <w:szCs w:val="28"/>
          <w:highlight w:val="yellow"/>
        </w:rPr>
      </w:pPr>
    </w:p>
    <w:p w14:paraId="3C60E4E0" w14:textId="516A4EFF" w:rsidR="007B6DD3" w:rsidRPr="007608F7" w:rsidRDefault="007B6DD3" w:rsidP="00EB44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608F7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856C45" w:rsidRPr="007608F7">
        <w:rPr>
          <w:rFonts w:ascii="Times New Roman" w:hAnsi="Times New Roman" w:cs="Times New Roman"/>
          <w:sz w:val="28"/>
          <w:szCs w:val="28"/>
        </w:rPr>
        <w:t xml:space="preserve">остатков средств бюджета </w:t>
      </w:r>
      <w:r w:rsidRPr="007608F7">
        <w:rPr>
          <w:rFonts w:ascii="Times New Roman" w:hAnsi="Times New Roman" w:cs="Times New Roman"/>
          <w:sz w:val="28"/>
          <w:szCs w:val="28"/>
        </w:rPr>
        <w:t>планируется равным 0,</w:t>
      </w:r>
      <w:r w:rsidR="005A06EA" w:rsidRPr="007608F7">
        <w:rPr>
          <w:rFonts w:ascii="Times New Roman" w:hAnsi="Times New Roman" w:cs="Times New Roman"/>
          <w:sz w:val="28"/>
          <w:szCs w:val="28"/>
        </w:rPr>
        <w:t>00 рублей</w:t>
      </w:r>
      <w:r w:rsidRPr="007608F7">
        <w:rPr>
          <w:rFonts w:ascii="Times New Roman" w:hAnsi="Times New Roman" w:cs="Times New Roman"/>
          <w:sz w:val="28"/>
          <w:szCs w:val="28"/>
        </w:rPr>
        <w:t xml:space="preserve">, так как сумма остатка сложится </w:t>
      </w:r>
      <w:r w:rsidR="00216313" w:rsidRPr="007608F7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7608F7">
        <w:rPr>
          <w:rFonts w:ascii="Times New Roman" w:hAnsi="Times New Roman" w:cs="Times New Roman"/>
          <w:sz w:val="28"/>
          <w:szCs w:val="28"/>
        </w:rPr>
        <w:t>на 01.01.</w:t>
      </w:r>
      <w:r w:rsidR="00DE0A2B" w:rsidRPr="007608F7">
        <w:rPr>
          <w:rFonts w:ascii="Times New Roman" w:hAnsi="Times New Roman" w:cs="Times New Roman"/>
          <w:sz w:val="28"/>
          <w:szCs w:val="28"/>
        </w:rPr>
        <w:t>2024</w:t>
      </w:r>
      <w:r w:rsidRPr="007608F7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C392716" w14:textId="77777777" w:rsidR="00856C45" w:rsidRPr="007608F7" w:rsidRDefault="00856C45" w:rsidP="00EB4484">
      <w:pPr>
        <w:widowControl w:val="0"/>
        <w:jc w:val="both"/>
        <w:rPr>
          <w:sz w:val="28"/>
          <w:szCs w:val="28"/>
        </w:rPr>
      </w:pPr>
    </w:p>
    <w:p w14:paraId="679D5C4B" w14:textId="77777777" w:rsidR="00856C45" w:rsidRPr="007608F7" w:rsidRDefault="00856C45" w:rsidP="00EB4484">
      <w:pPr>
        <w:widowControl w:val="0"/>
        <w:jc w:val="both"/>
        <w:rPr>
          <w:sz w:val="28"/>
          <w:szCs w:val="28"/>
        </w:rPr>
      </w:pPr>
    </w:p>
    <w:p w14:paraId="1AEA9944" w14:textId="77777777" w:rsidR="00856C45" w:rsidRPr="007608F7" w:rsidRDefault="00856C45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Председатель комитета по </w:t>
      </w:r>
    </w:p>
    <w:p w14:paraId="35068E62" w14:textId="77777777" w:rsidR="00856C45" w:rsidRPr="007608F7" w:rsidRDefault="00856C45" w:rsidP="00EB4484">
      <w:pPr>
        <w:widowControl w:val="0"/>
        <w:jc w:val="both"/>
        <w:rPr>
          <w:sz w:val="28"/>
          <w:szCs w:val="28"/>
        </w:rPr>
      </w:pPr>
      <w:r w:rsidRPr="007608F7">
        <w:rPr>
          <w:sz w:val="28"/>
          <w:szCs w:val="28"/>
        </w:rPr>
        <w:t xml:space="preserve">финансам администрации города                           </w:t>
      </w:r>
      <w:r w:rsidR="00F86BBE" w:rsidRPr="007608F7">
        <w:rPr>
          <w:sz w:val="28"/>
          <w:szCs w:val="28"/>
        </w:rPr>
        <w:t xml:space="preserve">      </w:t>
      </w:r>
      <w:r w:rsidR="004F7F9B" w:rsidRPr="007608F7">
        <w:rPr>
          <w:sz w:val="28"/>
          <w:szCs w:val="28"/>
        </w:rPr>
        <w:t xml:space="preserve">           </w:t>
      </w:r>
      <w:r w:rsidRPr="007608F7">
        <w:rPr>
          <w:sz w:val="28"/>
          <w:szCs w:val="28"/>
        </w:rPr>
        <w:t xml:space="preserve">               </w:t>
      </w:r>
      <w:r w:rsidR="004F7F9B" w:rsidRPr="007608F7">
        <w:rPr>
          <w:sz w:val="28"/>
          <w:szCs w:val="28"/>
        </w:rPr>
        <w:t>Е.Г. Егорова</w:t>
      </w:r>
    </w:p>
    <w:p w14:paraId="579126C8" w14:textId="77777777" w:rsidR="00856C45" w:rsidRPr="007608F7" w:rsidRDefault="00856C45" w:rsidP="00EB4484">
      <w:pPr>
        <w:widowControl w:val="0"/>
        <w:jc w:val="center"/>
        <w:rPr>
          <w:b/>
          <w:sz w:val="28"/>
          <w:szCs w:val="28"/>
        </w:rPr>
      </w:pPr>
    </w:p>
    <w:p w14:paraId="7689B70C" w14:textId="77777777" w:rsidR="00385F5E" w:rsidRPr="007608F7" w:rsidRDefault="00385F5E" w:rsidP="00EB4484">
      <w:pPr>
        <w:widowControl w:val="0"/>
        <w:jc w:val="both"/>
        <w:rPr>
          <w:sz w:val="28"/>
          <w:szCs w:val="28"/>
        </w:rPr>
      </w:pPr>
    </w:p>
    <w:p w14:paraId="1C4032E2" w14:textId="77777777" w:rsidR="00FE5F64" w:rsidRPr="007608F7" w:rsidRDefault="00FE5F64" w:rsidP="00EB4484">
      <w:pPr>
        <w:widowControl w:val="0"/>
        <w:jc w:val="both"/>
        <w:rPr>
          <w:sz w:val="28"/>
          <w:szCs w:val="28"/>
        </w:rPr>
      </w:pPr>
    </w:p>
    <w:p w14:paraId="65ECD4C0" w14:textId="77777777" w:rsidR="00176EC5" w:rsidRPr="007608F7" w:rsidRDefault="00176EC5" w:rsidP="00EB4484">
      <w:pPr>
        <w:widowControl w:val="0"/>
        <w:jc w:val="both"/>
        <w:rPr>
          <w:sz w:val="28"/>
          <w:szCs w:val="28"/>
        </w:rPr>
      </w:pPr>
    </w:p>
    <w:p w14:paraId="49AAC2FC" w14:textId="77777777" w:rsidR="00FE5F64" w:rsidRPr="007608F7" w:rsidRDefault="00FE5F64" w:rsidP="00EB4484">
      <w:pPr>
        <w:widowControl w:val="0"/>
        <w:jc w:val="both"/>
        <w:rPr>
          <w:sz w:val="28"/>
          <w:szCs w:val="28"/>
        </w:rPr>
      </w:pPr>
    </w:p>
    <w:p w14:paraId="37071357" w14:textId="77777777" w:rsidR="00FE5F64" w:rsidRPr="007608F7" w:rsidRDefault="00FE5F64" w:rsidP="00EB4484">
      <w:pPr>
        <w:widowControl w:val="0"/>
        <w:jc w:val="both"/>
        <w:rPr>
          <w:sz w:val="28"/>
          <w:szCs w:val="28"/>
        </w:rPr>
      </w:pPr>
    </w:p>
    <w:p w14:paraId="257DC99F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65ACAA82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2C161D96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6779CD98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46D132B6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0CB2151D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26E0C42A" w14:textId="3BF1F215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4BE0E785" w14:textId="0E1EB5A2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4B2AB2EF" w14:textId="401F65AC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0F8C5213" w14:textId="15356D89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3DB7D0F3" w14:textId="4FD7CC40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24C38227" w14:textId="7B64CFE8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6588EAE5" w14:textId="50A83785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6066CB79" w14:textId="6298B8D9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17F83925" w14:textId="28B511E4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457C1C50" w14:textId="455703A7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3633E84C" w14:textId="00638228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0484E425" w14:textId="793107FA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690BF44B" w14:textId="0AA7DFA7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653BCD8D" w14:textId="424989CB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1A37F5FC" w14:textId="6FE471BA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29EBDAB7" w14:textId="583278EB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2355B26E" w14:textId="29AADE62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1B2226D4" w14:textId="08384299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715FA82B" w14:textId="7DC3697C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4CB2C197" w14:textId="00B9AE54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6E617247" w14:textId="2B69FC9D" w:rsidR="009B54E2" w:rsidRPr="007608F7" w:rsidRDefault="009B54E2" w:rsidP="00EB4484">
      <w:pPr>
        <w:widowControl w:val="0"/>
        <w:jc w:val="both"/>
        <w:rPr>
          <w:sz w:val="28"/>
          <w:szCs w:val="28"/>
        </w:rPr>
      </w:pPr>
    </w:p>
    <w:p w14:paraId="7B326B71" w14:textId="77777777" w:rsidR="00550899" w:rsidRPr="007608F7" w:rsidRDefault="00550899" w:rsidP="00EB4484">
      <w:pPr>
        <w:widowControl w:val="0"/>
        <w:jc w:val="both"/>
        <w:rPr>
          <w:sz w:val="28"/>
          <w:szCs w:val="28"/>
        </w:rPr>
      </w:pPr>
    </w:p>
    <w:p w14:paraId="5195AF39" w14:textId="77777777" w:rsidR="00385F5E" w:rsidRPr="007608F7" w:rsidRDefault="00385F5E" w:rsidP="00EB4484">
      <w:pPr>
        <w:pStyle w:val="ad"/>
        <w:widowControl w:val="0"/>
        <w:spacing w:after="0"/>
      </w:pPr>
      <w:r w:rsidRPr="007608F7">
        <w:t>Голубева А.И.</w:t>
      </w:r>
      <w:r w:rsidR="002724AE" w:rsidRPr="007608F7">
        <w:t xml:space="preserve">, </w:t>
      </w:r>
      <w:r w:rsidR="00285398" w:rsidRPr="007608F7">
        <w:t>6-29-53</w:t>
      </w:r>
    </w:p>
    <w:p w14:paraId="766FF838" w14:textId="415A9EFC" w:rsidR="00385F5E" w:rsidRPr="007608F7" w:rsidRDefault="00285398" w:rsidP="00EB4484">
      <w:pPr>
        <w:pStyle w:val="ad"/>
        <w:widowControl w:val="0"/>
        <w:spacing w:after="0"/>
      </w:pPr>
      <w:r w:rsidRPr="007608F7">
        <w:t>Павленко Н.А.,</w:t>
      </w:r>
      <w:r w:rsidR="002724AE" w:rsidRPr="007608F7">
        <w:t xml:space="preserve"> </w:t>
      </w:r>
      <w:r w:rsidR="00385F5E" w:rsidRPr="007608F7">
        <w:t>6-</w:t>
      </w:r>
      <w:r w:rsidR="007B6DD3" w:rsidRPr="007608F7">
        <w:t>62-46</w:t>
      </w:r>
    </w:p>
    <w:p w14:paraId="0640C649" w14:textId="77777777" w:rsidR="00AC3409" w:rsidRPr="007608F7" w:rsidRDefault="00AC3409" w:rsidP="00EB4484">
      <w:pPr>
        <w:pStyle w:val="ad"/>
        <w:widowControl w:val="0"/>
        <w:spacing w:after="0"/>
        <w:sectPr w:rsidR="00AC3409" w:rsidRPr="007608F7" w:rsidSect="00A35A19">
          <w:pgSz w:w="11906" w:h="16838" w:code="9"/>
          <w:pgMar w:top="1134" w:right="567" w:bottom="1418" w:left="1134" w:header="709" w:footer="709" w:gutter="0"/>
          <w:pgNumType w:start="44"/>
          <w:cols w:space="708"/>
          <w:docGrid w:linePitch="360"/>
        </w:sectPr>
      </w:pPr>
    </w:p>
    <w:p w14:paraId="764031E4" w14:textId="77777777" w:rsidR="00AC3409" w:rsidRPr="007608F7" w:rsidRDefault="00AC3409" w:rsidP="00EB4484">
      <w:pPr>
        <w:pStyle w:val="ad"/>
        <w:widowControl w:val="0"/>
        <w:spacing w:after="0"/>
      </w:pPr>
    </w:p>
    <w:sectPr w:rsidR="00AC3409" w:rsidRPr="007608F7" w:rsidSect="00A35A19">
      <w:pgSz w:w="11906" w:h="16838" w:code="9"/>
      <w:pgMar w:top="1134" w:right="567" w:bottom="1418" w:left="1134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4FD0B" w14:textId="77777777" w:rsidR="00A248CE" w:rsidRDefault="00A248CE" w:rsidP="00530414">
      <w:pPr>
        <w:pStyle w:val="a5"/>
      </w:pPr>
      <w:r>
        <w:separator/>
      </w:r>
    </w:p>
  </w:endnote>
  <w:endnote w:type="continuationSeparator" w:id="0">
    <w:p w14:paraId="67F76C22" w14:textId="77777777" w:rsidR="00A248CE" w:rsidRDefault="00A248CE" w:rsidP="0053041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0C60F" w14:textId="77777777" w:rsidR="00A248CE" w:rsidRDefault="00A248CE" w:rsidP="00530414">
      <w:pPr>
        <w:pStyle w:val="a5"/>
      </w:pPr>
      <w:r>
        <w:separator/>
      </w:r>
    </w:p>
  </w:footnote>
  <w:footnote w:type="continuationSeparator" w:id="0">
    <w:p w14:paraId="095E8111" w14:textId="77777777" w:rsidR="00A248CE" w:rsidRDefault="00A248CE" w:rsidP="00530414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BE1D" w14:textId="769EAA09" w:rsidR="009C0FA6" w:rsidRDefault="009C0FA6" w:rsidP="00F214B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0A2B">
      <w:rPr>
        <w:rStyle w:val="a6"/>
        <w:noProof/>
      </w:rPr>
      <w:t>1</w:t>
    </w:r>
    <w:r>
      <w:rPr>
        <w:rStyle w:val="a6"/>
      </w:rPr>
      <w:fldChar w:fldCharType="end"/>
    </w:r>
  </w:p>
  <w:p w14:paraId="3C8E26EB" w14:textId="77777777" w:rsidR="009C0FA6" w:rsidRDefault="009C0F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4FB9" w14:textId="77777777" w:rsidR="009C0FA6" w:rsidRDefault="009C0FA6" w:rsidP="00435BB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77DE">
      <w:rPr>
        <w:rStyle w:val="a6"/>
        <w:noProof/>
      </w:rPr>
      <w:t>45</w:t>
    </w:r>
    <w:r>
      <w:rPr>
        <w:rStyle w:val="a6"/>
      </w:rPr>
      <w:fldChar w:fldCharType="end"/>
    </w:r>
  </w:p>
  <w:p w14:paraId="17AA563C" w14:textId="77777777" w:rsidR="009C0FA6" w:rsidRDefault="009C0F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E48"/>
    <w:multiLevelType w:val="hybridMultilevel"/>
    <w:tmpl w:val="2EB64F3E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B82E51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587E7A"/>
    <w:multiLevelType w:val="hybridMultilevel"/>
    <w:tmpl w:val="B68CB05A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620"/>
        </w:tabs>
        <w:ind w:left="1062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74EB"/>
    <w:multiLevelType w:val="hybridMultilevel"/>
    <w:tmpl w:val="43FC9D7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03B55"/>
    <w:multiLevelType w:val="hybridMultilevel"/>
    <w:tmpl w:val="F72C06A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3B5E6D"/>
    <w:multiLevelType w:val="hybridMultilevel"/>
    <w:tmpl w:val="8EAE1A9A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CF3F38"/>
    <w:multiLevelType w:val="multilevel"/>
    <w:tmpl w:val="2A8EF7D2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7414F"/>
    <w:multiLevelType w:val="multilevel"/>
    <w:tmpl w:val="2EB64F3E"/>
    <w:lvl w:ilvl="0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BC25E1"/>
    <w:multiLevelType w:val="multilevel"/>
    <w:tmpl w:val="1070EC0C"/>
    <w:lvl w:ilvl="0">
      <w:start w:val="1"/>
      <w:numFmt w:val="bullet"/>
      <w:lvlText w:val=""/>
      <w:lvlJc w:val="left"/>
      <w:pPr>
        <w:tabs>
          <w:tab w:val="num" w:pos="709"/>
        </w:tabs>
        <w:ind w:left="70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2737B"/>
    <w:multiLevelType w:val="hybridMultilevel"/>
    <w:tmpl w:val="1070EC0C"/>
    <w:lvl w:ilvl="0" w:tplc="37D42C84">
      <w:start w:val="1"/>
      <w:numFmt w:val="bullet"/>
      <w:lvlText w:val=""/>
      <w:lvlJc w:val="left"/>
      <w:pPr>
        <w:tabs>
          <w:tab w:val="num" w:pos="709"/>
        </w:tabs>
        <w:ind w:left="70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30012"/>
    <w:multiLevelType w:val="hybridMultilevel"/>
    <w:tmpl w:val="D6B8D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E81727"/>
    <w:multiLevelType w:val="hybridMultilevel"/>
    <w:tmpl w:val="F2DEC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E55B1"/>
    <w:multiLevelType w:val="hybridMultilevel"/>
    <w:tmpl w:val="52CA980E"/>
    <w:lvl w:ilvl="0" w:tplc="8842F6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91286"/>
    <w:multiLevelType w:val="multilevel"/>
    <w:tmpl w:val="54B4FD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7A7BED"/>
    <w:multiLevelType w:val="hybridMultilevel"/>
    <w:tmpl w:val="2A8EF7D2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8A2921"/>
    <w:multiLevelType w:val="multilevel"/>
    <w:tmpl w:val="F72C06AA"/>
    <w:lvl w:ilvl="0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2CD71B2"/>
    <w:multiLevelType w:val="hybridMultilevel"/>
    <w:tmpl w:val="2D9889F4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023E8164">
      <w:start w:val="1"/>
      <w:numFmt w:val="decimal"/>
      <w:lvlText w:val="%2."/>
      <w:lvlJc w:val="left"/>
      <w:pPr>
        <w:tabs>
          <w:tab w:val="num" w:pos="1800"/>
        </w:tabs>
        <w:ind w:left="180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240260"/>
    <w:multiLevelType w:val="multilevel"/>
    <w:tmpl w:val="8EAE1A9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7D6544"/>
    <w:multiLevelType w:val="multilevel"/>
    <w:tmpl w:val="F47C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A5873"/>
    <w:multiLevelType w:val="hybridMultilevel"/>
    <w:tmpl w:val="0C5CA8E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CB54AE5"/>
    <w:multiLevelType w:val="multilevel"/>
    <w:tmpl w:val="2D9889F4"/>
    <w:lvl w:ilvl="0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firstLine="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593697"/>
    <w:multiLevelType w:val="multilevel"/>
    <w:tmpl w:val="C02C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9625DA"/>
    <w:multiLevelType w:val="hybridMultilevel"/>
    <w:tmpl w:val="86DE95E6"/>
    <w:lvl w:ilvl="0" w:tplc="B6903686">
      <w:start w:val="1"/>
      <w:numFmt w:val="bullet"/>
      <w:lvlText w:val=""/>
      <w:lvlJc w:val="left"/>
      <w:pPr>
        <w:tabs>
          <w:tab w:val="num" w:pos="2836"/>
        </w:tabs>
        <w:ind w:left="2836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41AA1"/>
    <w:multiLevelType w:val="hybridMultilevel"/>
    <w:tmpl w:val="85C692D2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01968"/>
    <w:multiLevelType w:val="hybridMultilevel"/>
    <w:tmpl w:val="C02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61204E"/>
    <w:multiLevelType w:val="hybridMultilevel"/>
    <w:tmpl w:val="82627E6E"/>
    <w:lvl w:ilvl="0" w:tplc="E64818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0F34B0"/>
    <w:multiLevelType w:val="multilevel"/>
    <w:tmpl w:val="C284C642"/>
    <w:lvl w:ilvl="0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F15F36"/>
    <w:multiLevelType w:val="hybridMultilevel"/>
    <w:tmpl w:val="BDD66250"/>
    <w:lvl w:ilvl="0" w:tplc="B82E51C6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74175748"/>
    <w:multiLevelType w:val="hybridMultilevel"/>
    <w:tmpl w:val="54B4FDA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ACE72B5"/>
    <w:multiLevelType w:val="hybridMultilevel"/>
    <w:tmpl w:val="CCEACA26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81A86C8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F0216C"/>
    <w:multiLevelType w:val="hybridMultilevel"/>
    <w:tmpl w:val="C284C642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544372592">
    <w:abstractNumId w:val="29"/>
  </w:num>
  <w:num w:numId="2" w16cid:durableId="1937320556">
    <w:abstractNumId w:val="19"/>
  </w:num>
  <w:num w:numId="3" w16cid:durableId="1777404210">
    <w:abstractNumId w:val="31"/>
  </w:num>
  <w:num w:numId="4" w16cid:durableId="120001921">
    <w:abstractNumId w:val="3"/>
  </w:num>
  <w:num w:numId="5" w16cid:durableId="237328321">
    <w:abstractNumId w:val="14"/>
  </w:num>
  <w:num w:numId="6" w16cid:durableId="466973456">
    <w:abstractNumId w:val="2"/>
  </w:num>
  <w:num w:numId="7" w16cid:durableId="695884080">
    <w:abstractNumId w:val="30"/>
  </w:num>
  <w:num w:numId="8" w16cid:durableId="1999529840">
    <w:abstractNumId w:val="12"/>
  </w:num>
  <w:num w:numId="9" w16cid:durableId="1165121619">
    <w:abstractNumId w:val="18"/>
  </w:num>
  <w:num w:numId="10" w16cid:durableId="1165902423">
    <w:abstractNumId w:val="24"/>
  </w:num>
  <w:num w:numId="11" w16cid:durableId="1476946208">
    <w:abstractNumId w:val="4"/>
  </w:num>
  <w:num w:numId="12" w16cid:durableId="1492213963">
    <w:abstractNumId w:val="16"/>
  </w:num>
  <w:num w:numId="13" w16cid:durableId="1099638259">
    <w:abstractNumId w:val="13"/>
  </w:num>
  <w:num w:numId="14" w16cid:durableId="425997873">
    <w:abstractNumId w:val="1"/>
  </w:num>
  <w:num w:numId="15" w16cid:durableId="382406100">
    <w:abstractNumId w:val="5"/>
  </w:num>
  <w:num w:numId="16" w16cid:durableId="1259410014">
    <w:abstractNumId w:val="22"/>
  </w:num>
  <w:num w:numId="17" w16cid:durableId="1219392576">
    <w:abstractNumId w:val="25"/>
  </w:num>
  <w:num w:numId="18" w16cid:durableId="352729829">
    <w:abstractNumId w:val="21"/>
  </w:num>
  <w:num w:numId="19" w16cid:durableId="975645110">
    <w:abstractNumId w:val="8"/>
  </w:num>
  <w:num w:numId="20" w16cid:durableId="174812187">
    <w:abstractNumId w:val="33"/>
  </w:num>
  <w:num w:numId="21" w16cid:durableId="1319071018">
    <w:abstractNumId w:val="27"/>
  </w:num>
  <w:num w:numId="22" w16cid:durableId="1694258573">
    <w:abstractNumId w:val="0"/>
  </w:num>
  <w:num w:numId="23" w16cid:durableId="630867384">
    <w:abstractNumId w:val="10"/>
  </w:num>
  <w:num w:numId="24" w16cid:durableId="1814176688">
    <w:abstractNumId w:val="9"/>
  </w:num>
  <w:num w:numId="25" w16cid:durableId="1158839234">
    <w:abstractNumId w:val="26"/>
  </w:num>
  <w:num w:numId="26" w16cid:durableId="1890339861">
    <w:abstractNumId w:val="17"/>
  </w:num>
  <w:num w:numId="27" w16cid:durableId="1981416220">
    <w:abstractNumId w:val="6"/>
  </w:num>
  <w:num w:numId="28" w16cid:durableId="1780103164">
    <w:abstractNumId w:val="15"/>
  </w:num>
  <w:num w:numId="29" w16cid:durableId="1668435483">
    <w:abstractNumId w:val="20"/>
  </w:num>
  <w:num w:numId="30" w16cid:durableId="1678146292">
    <w:abstractNumId w:val="32"/>
  </w:num>
  <w:num w:numId="31" w16cid:durableId="1147235842">
    <w:abstractNumId w:val="7"/>
  </w:num>
  <w:num w:numId="32" w16cid:durableId="111634214">
    <w:abstractNumId w:val="23"/>
  </w:num>
  <w:num w:numId="33" w16cid:durableId="2026706460">
    <w:abstractNumId w:val="11"/>
  </w:num>
  <w:num w:numId="34" w16cid:durableId="17504265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D9"/>
    <w:rsid w:val="00000F68"/>
    <w:rsid w:val="000012ED"/>
    <w:rsid w:val="0000175A"/>
    <w:rsid w:val="000022F9"/>
    <w:rsid w:val="00002AA9"/>
    <w:rsid w:val="0000363D"/>
    <w:rsid w:val="00003D2E"/>
    <w:rsid w:val="00004259"/>
    <w:rsid w:val="000047C1"/>
    <w:rsid w:val="00004CFD"/>
    <w:rsid w:val="000059AF"/>
    <w:rsid w:val="000062E4"/>
    <w:rsid w:val="00006C6A"/>
    <w:rsid w:val="0000750A"/>
    <w:rsid w:val="00007EB7"/>
    <w:rsid w:val="00011496"/>
    <w:rsid w:val="0001226E"/>
    <w:rsid w:val="00012D9B"/>
    <w:rsid w:val="00012F59"/>
    <w:rsid w:val="000147C3"/>
    <w:rsid w:val="00015CA8"/>
    <w:rsid w:val="0001701F"/>
    <w:rsid w:val="00017771"/>
    <w:rsid w:val="000179A3"/>
    <w:rsid w:val="000202F3"/>
    <w:rsid w:val="00021D0B"/>
    <w:rsid w:val="00021FB1"/>
    <w:rsid w:val="00023834"/>
    <w:rsid w:val="000239FF"/>
    <w:rsid w:val="00030954"/>
    <w:rsid w:val="00030AD0"/>
    <w:rsid w:val="00030BD1"/>
    <w:rsid w:val="000310DA"/>
    <w:rsid w:val="00031D92"/>
    <w:rsid w:val="00032EEF"/>
    <w:rsid w:val="000339B4"/>
    <w:rsid w:val="00033E3B"/>
    <w:rsid w:val="000350CD"/>
    <w:rsid w:val="000351A3"/>
    <w:rsid w:val="0003567D"/>
    <w:rsid w:val="00036052"/>
    <w:rsid w:val="0003621E"/>
    <w:rsid w:val="00036F1B"/>
    <w:rsid w:val="00040403"/>
    <w:rsid w:val="000405B9"/>
    <w:rsid w:val="000420CE"/>
    <w:rsid w:val="00042279"/>
    <w:rsid w:val="00042B45"/>
    <w:rsid w:val="00042CA8"/>
    <w:rsid w:val="000436E9"/>
    <w:rsid w:val="0004392B"/>
    <w:rsid w:val="000447B1"/>
    <w:rsid w:val="0004531D"/>
    <w:rsid w:val="00046534"/>
    <w:rsid w:val="000465BC"/>
    <w:rsid w:val="00046815"/>
    <w:rsid w:val="000475CF"/>
    <w:rsid w:val="0005140B"/>
    <w:rsid w:val="000514E7"/>
    <w:rsid w:val="000529A4"/>
    <w:rsid w:val="00053C34"/>
    <w:rsid w:val="000545E1"/>
    <w:rsid w:val="00055D07"/>
    <w:rsid w:val="000569DD"/>
    <w:rsid w:val="00056C7B"/>
    <w:rsid w:val="00060767"/>
    <w:rsid w:val="000620E8"/>
    <w:rsid w:val="0006286A"/>
    <w:rsid w:val="00065A60"/>
    <w:rsid w:val="00067592"/>
    <w:rsid w:val="00070E66"/>
    <w:rsid w:val="000715DC"/>
    <w:rsid w:val="0007288F"/>
    <w:rsid w:val="0007291C"/>
    <w:rsid w:val="0007306E"/>
    <w:rsid w:val="000732DA"/>
    <w:rsid w:val="000738AE"/>
    <w:rsid w:val="00074B95"/>
    <w:rsid w:val="00074F6D"/>
    <w:rsid w:val="00075625"/>
    <w:rsid w:val="00075EBF"/>
    <w:rsid w:val="000762A1"/>
    <w:rsid w:val="00076774"/>
    <w:rsid w:val="000779E6"/>
    <w:rsid w:val="0008051E"/>
    <w:rsid w:val="00080858"/>
    <w:rsid w:val="000808C9"/>
    <w:rsid w:val="000816DB"/>
    <w:rsid w:val="0008407E"/>
    <w:rsid w:val="0008536E"/>
    <w:rsid w:val="00085521"/>
    <w:rsid w:val="00086665"/>
    <w:rsid w:val="000876C2"/>
    <w:rsid w:val="00090488"/>
    <w:rsid w:val="00090D59"/>
    <w:rsid w:val="00092E45"/>
    <w:rsid w:val="00093C6E"/>
    <w:rsid w:val="00094A23"/>
    <w:rsid w:val="00094F09"/>
    <w:rsid w:val="000950E4"/>
    <w:rsid w:val="000950FD"/>
    <w:rsid w:val="00095A62"/>
    <w:rsid w:val="00095BE8"/>
    <w:rsid w:val="00096581"/>
    <w:rsid w:val="00096953"/>
    <w:rsid w:val="000A030B"/>
    <w:rsid w:val="000A0D2A"/>
    <w:rsid w:val="000A1605"/>
    <w:rsid w:val="000A2082"/>
    <w:rsid w:val="000A2CEF"/>
    <w:rsid w:val="000A31CF"/>
    <w:rsid w:val="000A3587"/>
    <w:rsid w:val="000A46D5"/>
    <w:rsid w:val="000A4E6C"/>
    <w:rsid w:val="000A4F28"/>
    <w:rsid w:val="000A6730"/>
    <w:rsid w:val="000A6E91"/>
    <w:rsid w:val="000A7C09"/>
    <w:rsid w:val="000B04FD"/>
    <w:rsid w:val="000B0AE5"/>
    <w:rsid w:val="000B1902"/>
    <w:rsid w:val="000B1E64"/>
    <w:rsid w:val="000B217D"/>
    <w:rsid w:val="000B27CC"/>
    <w:rsid w:val="000B503E"/>
    <w:rsid w:val="000B5A4F"/>
    <w:rsid w:val="000B6CE4"/>
    <w:rsid w:val="000C2296"/>
    <w:rsid w:val="000C3995"/>
    <w:rsid w:val="000C5CC2"/>
    <w:rsid w:val="000C6332"/>
    <w:rsid w:val="000D057A"/>
    <w:rsid w:val="000D3457"/>
    <w:rsid w:val="000D3CC8"/>
    <w:rsid w:val="000D458B"/>
    <w:rsid w:val="000D459F"/>
    <w:rsid w:val="000D47D5"/>
    <w:rsid w:val="000D4BB2"/>
    <w:rsid w:val="000D4BBB"/>
    <w:rsid w:val="000D5149"/>
    <w:rsid w:val="000D5D02"/>
    <w:rsid w:val="000D675A"/>
    <w:rsid w:val="000D7EB0"/>
    <w:rsid w:val="000E2E21"/>
    <w:rsid w:val="000E2E93"/>
    <w:rsid w:val="000E6710"/>
    <w:rsid w:val="000E7289"/>
    <w:rsid w:val="000E7B5E"/>
    <w:rsid w:val="000E7E56"/>
    <w:rsid w:val="000F03C8"/>
    <w:rsid w:val="000F090B"/>
    <w:rsid w:val="000F1CBF"/>
    <w:rsid w:val="000F2248"/>
    <w:rsid w:val="000F2BDD"/>
    <w:rsid w:val="000F37DA"/>
    <w:rsid w:val="000F467A"/>
    <w:rsid w:val="000F5319"/>
    <w:rsid w:val="000F5416"/>
    <w:rsid w:val="000F759F"/>
    <w:rsid w:val="000F79A7"/>
    <w:rsid w:val="000F7B2B"/>
    <w:rsid w:val="000F7C82"/>
    <w:rsid w:val="0010063D"/>
    <w:rsid w:val="001006B9"/>
    <w:rsid w:val="001029F8"/>
    <w:rsid w:val="00102BED"/>
    <w:rsid w:val="0010386B"/>
    <w:rsid w:val="00103A32"/>
    <w:rsid w:val="00103B93"/>
    <w:rsid w:val="0010536D"/>
    <w:rsid w:val="0010593C"/>
    <w:rsid w:val="0011002C"/>
    <w:rsid w:val="00110598"/>
    <w:rsid w:val="00110C20"/>
    <w:rsid w:val="00111273"/>
    <w:rsid w:val="0011164C"/>
    <w:rsid w:val="001118CC"/>
    <w:rsid w:val="001128A5"/>
    <w:rsid w:val="001134AD"/>
    <w:rsid w:val="0011386D"/>
    <w:rsid w:val="00114BC2"/>
    <w:rsid w:val="00116ED8"/>
    <w:rsid w:val="0012039F"/>
    <w:rsid w:val="00120AD7"/>
    <w:rsid w:val="00120EBC"/>
    <w:rsid w:val="00122C60"/>
    <w:rsid w:val="00123838"/>
    <w:rsid w:val="0012615A"/>
    <w:rsid w:val="001271A0"/>
    <w:rsid w:val="00127A57"/>
    <w:rsid w:val="00127FB1"/>
    <w:rsid w:val="001301EF"/>
    <w:rsid w:val="001308BC"/>
    <w:rsid w:val="00130B43"/>
    <w:rsid w:val="00131ADD"/>
    <w:rsid w:val="001324E5"/>
    <w:rsid w:val="00132901"/>
    <w:rsid w:val="00132DAD"/>
    <w:rsid w:val="00134337"/>
    <w:rsid w:val="00134F9B"/>
    <w:rsid w:val="0013672F"/>
    <w:rsid w:val="00136C33"/>
    <w:rsid w:val="001377C9"/>
    <w:rsid w:val="0014127F"/>
    <w:rsid w:val="00141BF6"/>
    <w:rsid w:val="001420AD"/>
    <w:rsid w:val="0014227E"/>
    <w:rsid w:val="00142C2A"/>
    <w:rsid w:val="00146432"/>
    <w:rsid w:val="0014659A"/>
    <w:rsid w:val="001471CD"/>
    <w:rsid w:val="00147F8B"/>
    <w:rsid w:val="00152570"/>
    <w:rsid w:val="001528EC"/>
    <w:rsid w:val="00152A1F"/>
    <w:rsid w:val="00152B08"/>
    <w:rsid w:val="00154D2D"/>
    <w:rsid w:val="001558E7"/>
    <w:rsid w:val="00156D4A"/>
    <w:rsid w:val="00157007"/>
    <w:rsid w:val="00157131"/>
    <w:rsid w:val="0015794F"/>
    <w:rsid w:val="001614FD"/>
    <w:rsid w:val="00163059"/>
    <w:rsid w:val="00163212"/>
    <w:rsid w:val="00163C42"/>
    <w:rsid w:val="0016419A"/>
    <w:rsid w:val="00165745"/>
    <w:rsid w:val="001663D2"/>
    <w:rsid w:val="001669C7"/>
    <w:rsid w:val="0016703C"/>
    <w:rsid w:val="00167781"/>
    <w:rsid w:val="0017019F"/>
    <w:rsid w:val="00170355"/>
    <w:rsid w:val="00170676"/>
    <w:rsid w:val="001711F3"/>
    <w:rsid w:val="001714A6"/>
    <w:rsid w:val="00171E1C"/>
    <w:rsid w:val="00173A7B"/>
    <w:rsid w:val="00173ECE"/>
    <w:rsid w:val="0017456C"/>
    <w:rsid w:val="00174B49"/>
    <w:rsid w:val="00176AFF"/>
    <w:rsid w:val="00176EC5"/>
    <w:rsid w:val="00177D89"/>
    <w:rsid w:val="0018098C"/>
    <w:rsid w:val="00181E83"/>
    <w:rsid w:val="00181E92"/>
    <w:rsid w:val="00182341"/>
    <w:rsid w:val="00182B83"/>
    <w:rsid w:val="001838B1"/>
    <w:rsid w:val="001844AB"/>
    <w:rsid w:val="0018553B"/>
    <w:rsid w:val="00185A2E"/>
    <w:rsid w:val="001867BB"/>
    <w:rsid w:val="00187390"/>
    <w:rsid w:val="001914DC"/>
    <w:rsid w:val="0019409A"/>
    <w:rsid w:val="00194A40"/>
    <w:rsid w:val="00195747"/>
    <w:rsid w:val="00196DC4"/>
    <w:rsid w:val="001A0EBC"/>
    <w:rsid w:val="001A1147"/>
    <w:rsid w:val="001A2E01"/>
    <w:rsid w:val="001A34C8"/>
    <w:rsid w:val="001A53A4"/>
    <w:rsid w:val="001A5E9A"/>
    <w:rsid w:val="001A653D"/>
    <w:rsid w:val="001A6B52"/>
    <w:rsid w:val="001A6C1B"/>
    <w:rsid w:val="001A7796"/>
    <w:rsid w:val="001B0060"/>
    <w:rsid w:val="001B067D"/>
    <w:rsid w:val="001B0A8E"/>
    <w:rsid w:val="001B138C"/>
    <w:rsid w:val="001B1782"/>
    <w:rsid w:val="001B180E"/>
    <w:rsid w:val="001B1CCB"/>
    <w:rsid w:val="001B2D2D"/>
    <w:rsid w:val="001B2EF1"/>
    <w:rsid w:val="001B2FEC"/>
    <w:rsid w:val="001B3477"/>
    <w:rsid w:val="001B3A08"/>
    <w:rsid w:val="001B3C4B"/>
    <w:rsid w:val="001B520D"/>
    <w:rsid w:val="001B5779"/>
    <w:rsid w:val="001B5D63"/>
    <w:rsid w:val="001C16DD"/>
    <w:rsid w:val="001C29C3"/>
    <w:rsid w:val="001C3120"/>
    <w:rsid w:val="001C31E2"/>
    <w:rsid w:val="001C3486"/>
    <w:rsid w:val="001C35F2"/>
    <w:rsid w:val="001C3EF0"/>
    <w:rsid w:val="001C5B4D"/>
    <w:rsid w:val="001C60DE"/>
    <w:rsid w:val="001C6359"/>
    <w:rsid w:val="001C67FE"/>
    <w:rsid w:val="001C69CA"/>
    <w:rsid w:val="001D0C24"/>
    <w:rsid w:val="001D101C"/>
    <w:rsid w:val="001D1134"/>
    <w:rsid w:val="001D1326"/>
    <w:rsid w:val="001D40A9"/>
    <w:rsid w:val="001D41C0"/>
    <w:rsid w:val="001D4D57"/>
    <w:rsid w:val="001D6581"/>
    <w:rsid w:val="001E04E0"/>
    <w:rsid w:val="001E1D5D"/>
    <w:rsid w:val="001E229E"/>
    <w:rsid w:val="001E2473"/>
    <w:rsid w:val="001E2818"/>
    <w:rsid w:val="001E311F"/>
    <w:rsid w:val="001E3F3D"/>
    <w:rsid w:val="001E4624"/>
    <w:rsid w:val="001E4D05"/>
    <w:rsid w:val="001E531E"/>
    <w:rsid w:val="001E544A"/>
    <w:rsid w:val="001E5ACD"/>
    <w:rsid w:val="001E6378"/>
    <w:rsid w:val="001E661B"/>
    <w:rsid w:val="001E7AA4"/>
    <w:rsid w:val="001F13E3"/>
    <w:rsid w:val="001F216C"/>
    <w:rsid w:val="001F2AB7"/>
    <w:rsid w:val="001F3784"/>
    <w:rsid w:val="001F3D87"/>
    <w:rsid w:val="001F4B3B"/>
    <w:rsid w:val="001F5A1F"/>
    <w:rsid w:val="001F606E"/>
    <w:rsid w:val="001F7405"/>
    <w:rsid w:val="001F7543"/>
    <w:rsid w:val="0020207B"/>
    <w:rsid w:val="0020286D"/>
    <w:rsid w:val="002032D3"/>
    <w:rsid w:val="00203612"/>
    <w:rsid w:val="002043AD"/>
    <w:rsid w:val="00204725"/>
    <w:rsid w:val="00204F5D"/>
    <w:rsid w:val="002053BC"/>
    <w:rsid w:val="00206BD5"/>
    <w:rsid w:val="00207EF1"/>
    <w:rsid w:val="00210BCF"/>
    <w:rsid w:val="00211D17"/>
    <w:rsid w:val="00212930"/>
    <w:rsid w:val="00212F7A"/>
    <w:rsid w:val="002158C1"/>
    <w:rsid w:val="00216313"/>
    <w:rsid w:val="00216A0F"/>
    <w:rsid w:val="002206FF"/>
    <w:rsid w:val="00221704"/>
    <w:rsid w:val="00221C4F"/>
    <w:rsid w:val="002229F6"/>
    <w:rsid w:val="00222FB2"/>
    <w:rsid w:val="00222FB5"/>
    <w:rsid w:val="002237EC"/>
    <w:rsid w:val="00224D23"/>
    <w:rsid w:val="00226DA2"/>
    <w:rsid w:val="00227871"/>
    <w:rsid w:val="00231003"/>
    <w:rsid w:val="002316E8"/>
    <w:rsid w:val="00231B7D"/>
    <w:rsid w:val="0023224C"/>
    <w:rsid w:val="00232D36"/>
    <w:rsid w:val="00233465"/>
    <w:rsid w:val="00233C70"/>
    <w:rsid w:val="00234642"/>
    <w:rsid w:val="0023472B"/>
    <w:rsid w:val="002350DC"/>
    <w:rsid w:val="00235BEF"/>
    <w:rsid w:val="0023638C"/>
    <w:rsid w:val="0023698F"/>
    <w:rsid w:val="00236B76"/>
    <w:rsid w:val="00240588"/>
    <w:rsid w:val="002423CE"/>
    <w:rsid w:val="002424BC"/>
    <w:rsid w:val="0024252B"/>
    <w:rsid w:val="00242E42"/>
    <w:rsid w:val="00242F38"/>
    <w:rsid w:val="002433FB"/>
    <w:rsid w:val="0024383A"/>
    <w:rsid w:val="00244C77"/>
    <w:rsid w:val="0024503B"/>
    <w:rsid w:val="00245774"/>
    <w:rsid w:val="0024599E"/>
    <w:rsid w:val="00246A6E"/>
    <w:rsid w:val="00246A79"/>
    <w:rsid w:val="00246F9D"/>
    <w:rsid w:val="00253168"/>
    <w:rsid w:val="00254054"/>
    <w:rsid w:val="00254B52"/>
    <w:rsid w:val="00256D66"/>
    <w:rsid w:val="00256F1D"/>
    <w:rsid w:val="00257E62"/>
    <w:rsid w:val="0026032B"/>
    <w:rsid w:val="0026067A"/>
    <w:rsid w:val="00261AAC"/>
    <w:rsid w:val="00261C1B"/>
    <w:rsid w:val="00262394"/>
    <w:rsid w:val="00263B28"/>
    <w:rsid w:val="002642CD"/>
    <w:rsid w:val="0026455E"/>
    <w:rsid w:val="00264732"/>
    <w:rsid w:val="00264AB8"/>
    <w:rsid w:val="00264E41"/>
    <w:rsid w:val="002659F6"/>
    <w:rsid w:val="002665CE"/>
    <w:rsid w:val="0026673C"/>
    <w:rsid w:val="00266C82"/>
    <w:rsid w:val="00267D91"/>
    <w:rsid w:val="0027091C"/>
    <w:rsid w:val="002711B8"/>
    <w:rsid w:val="002724AE"/>
    <w:rsid w:val="00272748"/>
    <w:rsid w:val="00272DD5"/>
    <w:rsid w:val="00272F65"/>
    <w:rsid w:val="00273517"/>
    <w:rsid w:val="00273733"/>
    <w:rsid w:val="002737A6"/>
    <w:rsid w:val="00273DB4"/>
    <w:rsid w:val="0027520A"/>
    <w:rsid w:val="00275A3F"/>
    <w:rsid w:val="00275E64"/>
    <w:rsid w:val="002777FD"/>
    <w:rsid w:val="002801FB"/>
    <w:rsid w:val="002829C4"/>
    <w:rsid w:val="00285398"/>
    <w:rsid w:val="00291239"/>
    <w:rsid w:val="00292C9F"/>
    <w:rsid w:val="002931C6"/>
    <w:rsid w:val="0029446F"/>
    <w:rsid w:val="002949DB"/>
    <w:rsid w:val="00296091"/>
    <w:rsid w:val="002962C9"/>
    <w:rsid w:val="00296CD0"/>
    <w:rsid w:val="0029790E"/>
    <w:rsid w:val="00297A7F"/>
    <w:rsid w:val="002A2803"/>
    <w:rsid w:val="002A3D82"/>
    <w:rsid w:val="002A4233"/>
    <w:rsid w:val="002A61D6"/>
    <w:rsid w:val="002A6D05"/>
    <w:rsid w:val="002A74F9"/>
    <w:rsid w:val="002A7AC7"/>
    <w:rsid w:val="002A7D84"/>
    <w:rsid w:val="002B0030"/>
    <w:rsid w:val="002B1041"/>
    <w:rsid w:val="002B1DB7"/>
    <w:rsid w:val="002B3034"/>
    <w:rsid w:val="002B32CA"/>
    <w:rsid w:val="002B3E0B"/>
    <w:rsid w:val="002B50C8"/>
    <w:rsid w:val="002B5A82"/>
    <w:rsid w:val="002B616A"/>
    <w:rsid w:val="002C015B"/>
    <w:rsid w:val="002C1409"/>
    <w:rsid w:val="002C1A69"/>
    <w:rsid w:val="002C20DA"/>
    <w:rsid w:val="002C36A5"/>
    <w:rsid w:val="002C3A68"/>
    <w:rsid w:val="002C3C13"/>
    <w:rsid w:val="002C602B"/>
    <w:rsid w:val="002C655D"/>
    <w:rsid w:val="002C6A16"/>
    <w:rsid w:val="002C79C7"/>
    <w:rsid w:val="002D03AD"/>
    <w:rsid w:val="002D20B5"/>
    <w:rsid w:val="002D25AD"/>
    <w:rsid w:val="002D2AE8"/>
    <w:rsid w:val="002D5E59"/>
    <w:rsid w:val="002D61D1"/>
    <w:rsid w:val="002D6B11"/>
    <w:rsid w:val="002D77AD"/>
    <w:rsid w:val="002D7EF7"/>
    <w:rsid w:val="002E136A"/>
    <w:rsid w:val="002E1522"/>
    <w:rsid w:val="002E4677"/>
    <w:rsid w:val="002E4A32"/>
    <w:rsid w:val="002E4F7E"/>
    <w:rsid w:val="002E5986"/>
    <w:rsid w:val="002E61CE"/>
    <w:rsid w:val="002E6F47"/>
    <w:rsid w:val="002E76B8"/>
    <w:rsid w:val="002F11CB"/>
    <w:rsid w:val="002F18B4"/>
    <w:rsid w:val="002F1FFD"/>
    <w:rsid w:val="002F2D4A"/>
    <w:rsid w:val="002F38E3"/>
    <w:rsid w:val="002F3AE4"/>
    <w:rsid w:val="002F6592"/>
    <w:rsid w:val="002F71C1"/>
    <w:rsid w:val="002F73A8"/>
    <w:rsid w:val="002F74F2"/>
    <w:rsid w:val="002F7B63"/>
    <w:rsid w:val="002F7D45"/>
    <w:rsid w:val="002F7DF3"/>
    <w:rsid w:val="003014A8"/>
    <w:rsid w:val="003016EE"/>
    <w:rsid w:val="00302549"/>
    <w:rsid w:val="00302978"/>
    <w:rsid w:val="00303B92"/>
    <w:rsid w:val="003044F2"/>
    <w:rsid w:val="003055BB"/>
    <w:rsid w:val="00305919"/>
    <w:rsid w:val="00305E15"/>
    <w:rsid w:val="00306398"/>
    <w:rsid w:val="0030709C"/>
    <w:rsid w:val="00307264"/>
    <w:rsid w:val="0030741F"/>
    <w:rsid w:val="003074F2"/>
    <w:rsid w:val="00307E24"/>
    <w:rsid w:val="0031105B"/>
    <w:rsid w:val="0031156B"/>
    <w:rsid w:val="00312A92"/>
    <w:rsid w:val="00313756"/>
    <w:rsid w:val="00313799"/>
    <w:rsid w:val="00313BD6"/>
    <w:rsid w:val="00313CB4"/>
    <w:rsid w:val="0032093E"/>
    <w:rsid w:val="00321B1F"/>
    <w:rsid w:val="0032286D"/>
    <w:rsid w:val="00322C4B"/>
    <w:rsid w:val="00325CE3"/>
    <w:rsid w:val="00326564"/>
    <w:rsid w:val="0032666A"/>
    <w:rsid w:val="003268E0"/>
    <w:rsid w:val="00330351"/>
    <w:rsid w:val="00331B92"/>
    <w:rsid w:val="00331BFA"/>
    <w:rsid w:val="003320EC"/>
    <w:rsid w:val="00332738"/>
    <w:rsid w:val="0033337B"/>
    <w:rsid w:val="00333426"/>
    <w:rsid w:val="0033390F"/>
    <w:rsid w:val="00334372"/>
    <w:rsid w:val="0033597E"/>
    <w:rsid w:val="00335BAC"/>
    <w:rsid w:val="0033634B"/>
    <w:rsid w:val="00336380"/>
    <w:rsid w:val="003364D3"/>
    <w:rsid w:val="00336D04"/>
    <w:rsid w:val="00336E8D"/>
    <w:rsid w:val="003370DE"/>
    <w:rsid w:val="00337409"/>
    <w:rsid w:val="0034016C"/>
    <w:rsid w:val="00340EDC"/>
    <w:rsid w:val="00342032"/>
    <w:rsid w:val="00342C90"/>
    <w:rsid w:val="0034317F"/>
    <w:rsid w:val="00343A98"/>
    <w:rsid w:val="0034558C"/>
    <w:rsid w:val="003457ED"/>
    <w:rsid w:val="003465DA"/>
    <w:rsid w:val="00346BCA"/>
    <w:rsid w:val="00346D17"/>
    <w:rsid w:val="003501F7"/>
    <w:rsid w:val="00351213"/>
    <w:rsid w:val="0035276B"/>
    <w:rsid w:val="00352A5A"/>
    <w:rsid w:val="00352DB0"/>
    <w:rsid w:val="00352E07"/>
    <w:rsid w:val="00353746"/>
    <w:rsid w:val="003538B2"/>
    <w:rsid w:val="00356263"/>
    <w:rsid w:val="00356C2C"/>
    <w:rsid w:val="00357685"/>
    <w:rsid w:val="003616C9"/>
    <w:rsid w:val="00361D69"/>
    <w:rsid w:val="0036268C"/>
    <w:rsid w:val="0036308D"/>
    <w:rsid w:val="003631B5"/>
    <w:rsid w:val="00364482"/>
    <w:rsid w:val="00364C63"/>
    <w:rsid w:val="00364E8B"/>
    <w:rsid w:val="0036508E"/>
    <w:rsid w:val="00366168"/>
    <w:rsid w:val="00366C40"/>
    <w:rsid w:val="00367A1E"/>
    <w:rsid w:val="00370628"/>
    <w:rsid w:val="00372074"/>
    <w:rsid w:val="003729B6"/>
    <w:rsid w:val="003730F8"/>
    <w:rsid w:val="00373825"/>
    <w:rsid w:val="00373BBC"/>
    <w:rsid w:val="00373D0A"/>
    <w:rsid w:val="00374B2B"/>
    <w:rsid w:val="00375D42"/>
    <w:rsid w:val="00375DBC"/>
    <w:rsid w:val="00375DD5"/>
    <w:rsid w:val="00376938"/>
    <w:rsid w:val="0037769C"/>
    <w:rsid w:val="00377E24"/>
    <w:rsid w:val="003813A4"/>
    <w:rsid w:val="00381AF2"/>
    <w:rsid w:val="003820C3"/>
    <w:rsid w:val="003820C9"/>
    <w:rsid w:val="003824F2"/>
    <w:rsid w:val="00382D67"/>
    <w:rsid w:val="0038421B"/>
    <w:rsid w:val="0038461F"/>
    <w:rsid w:val="00385571"/>
    <w:rsid w:val="00385F5E"/>
    <w:rsid w:val="00386681"/>
    <w:rsid w:val="003868F8"/>
    <w:rsid w:val="00387CBD"/>
    <w:rsid w:val="00390471"/>
    <w:rsid w:val="003915C2"/>
    <w:rsid w:val="00393D86"/>
    <w:rsid w:val="003968BE"/>
    <w:rsid w:val="0039792C"/>
    <w:rsid w:val="003979CC"/>
    <w:rsid w:val="003A15B0"/>
    <w:rsid w:val="003A166E"/>
    <w:rsid w:val="003A16BE"/>
    <w:rsid w:val="003A1EE6"/>
    <w:rsid w:val="003A2A6E"/>
    <w:rsid w:val="003A4C81"/>
    <w:rsid w:val="003A4DF8"/>
    <w:rsid w:val="003A59E3"/>
    <w:rsid w:val="003A5B30"/>
    <w:rsid w:val="003A6564"/>
    <w:rsid w:val="003A7A51"/>
    <w:rsid w:val="003A7DCE"/>
    <w:rsid w:val="003B0311"/>
    <w:rsid w:val="003B11A8"/>
    <w:rsid w:val="003B333F"/>
    <w:rsid w:val="003B3398"/>
    <w:rsid w:val="003B3CFA"/>
    <w:rsid w:val="003B47A3"/>
    <w:rsid w:val="003B724A"/>
    <w:rsid w:val="003B7BBA"/>
    <w:rsid w:val="003B7C49"/>
    <w:rsid w:val="003C0A86"/>
    <w:rsid w:val="003C3425"/>
    <w:rsid w:val="003C3660"/>
    <w:rsid w:val="003C39B2"/>
    <w:rsid w:val="003C4346"/>
    <w:rsid w:val="003C4621"/>
    <w:rsid w:val="003C5411"/>
    <w:rsid w:val="003C5D4E"/>
    <w:rsid w:val="003C647D"/>
    <w:rsid w:val="003C7B72"/>
    <w:rsid w:val="003C7CAD"/>
    <w:rsid w:val="003D4819"/>
    <w:rsid w:val="003D5179"/>
    <w:rsid w:val="003E0A70"/>
    <w:rsid w:val="003E0AFC"/>
    <w:rsid w:val="003E182F"/>
    <w:rsid w:val="003E2479"/>
    <w:rsid w:val="003E2E72"/>
    <w:rsid w:val="003E3DC1"/>
    <w:rsid w:val="003E47AE"/>
    <w:rsid w:val="003E5666"/>
    <w:rsid w:val="003E6492"/>
    <w:rsid w:val="003E66B0"/>
    <w:rsid w:val="003F0922"/>
    <w:rsid w:val="003F0BA8"/>
    <w:rsid w:val="003F13CD"/>
    <w:rsid w:val="003F1B81"/>
    <w:rsid w:val="003F29A1"/>
    <w:rsid w:val="003F4872"/>
    <w:rsid w:val="003F59AF"/>
    <w:rsid w:val="003F5C04"/>
    <w:rsid w:val="003F67ED"/>
    <w:rsid w:val="003F7261"/>
    <w:rsid w:val="0040016B"/>
    <w:rsid w:val="00400B2B"/>
    <w:rsid w:val="00402686"/>
    <w:rsid w:val="0040342B"/>
    <w:rsid w:val="0040408A"/>
    <w:rsid w:val="0040411E"/>
    <w:rsid w:val="00404D48"/>
    <w:rsid w:val="0040511A"/>
    <w:rsid w:val="00405F43"/>
    <w:rsid w:val="00410B6E"/>
    <w:rsid w:val="004115EA"/>
    <w:rsid w:val="00411751"/>
    <w:rsid w:val="00411C78"/>
    <w:rsid w:val="00412B35"/>
    <w:rsid w:val="00415595"/>
    <w:rsid w:val="004155FC"/>
    <w:rsid w:val="0041679C"/>
    <w:rsid w:val="00416E2A"/>
    <w:rsid w:val="00416FAA"/>
    <w:rsid w:val="00417291"/>
    <w:rsid w:val="004174B8"/>
    <w:rsid w:val="00417A44"/>
    <w:rsid w:val="004206E8"/>
    <w:rsid w:val="00420DEA"/>
    <w:rsid w:val="00420DEE"/>
    <w:rsid w:val="00421F4D"/>
    <w:rsid w:val="00423949"/>
    <w:rsid w:val="00423C15"/>
    <w:rsid w:val="00424391"/>
    <w:rsid w:val="00426BF3"/>
    <w:rsid w:val="00427486"/>
    <w:rsid w:val="00427F57"/>
    <w:rsid w:val="0043049E"/>
    <w:rsid w:val="0043259C"/>
    <w:rsid w:val="0043270D"/>
    <w:rsid w:val="00433E27"/>
    <w:rsid w:val="004347E2"/>
    <w:rsid w:val="004359AB"/>
    <w:rsid w:val="00435BBB"/>
    <w:rsid w:val="0043636D"/>
    <w:rsid w:val="00440CEC"/>
    <w:rsid w:val="00440ED7"/>
    <w:rsid w:val="00441B3A"/>
    <w:rsid w:val="0044316B"/>
    <w:rsid w:val="0044407A"/>
    <w:rsid w:val="0044416A"/>
    <w:rsid w:val="004447BF"/>
    <w:rsid w:val="00444E29"/>
    <w:rsid w:val="004457EB"/>
    <w:rsid w:val="00447AE8"/>
    <w:rsid w:val="00447BF5"/>
    <w:rsid w:val="004500BD"/>
    <w:rsid w:val="00450F60"/>
    <w:rsid w:val="0045143F"/>
    <w:rsid w:val="00451AEE"/>
    <w:rsid w:val="00452D00"/>
    <w:rsid w:val="0045345C"/>
    <w:rsid w:val="00453CD5"/>
    <w:rsid w:val="004551A7"/>
    <w:rsid w:val="00455D7D"/>
    <w:rsid w:val="0045674A"/>
    <w:rsid w:val="0045778C"/>
    <w:rsid w:val="00460109"/>
    <w:rsid w:val="00461591"/>
    <w:rsid w:val="004615A6"/>
    <w:rsid w:val="00461B7C"/>
    <w:rsid w:val="004620A5"/>
    <w:rsid w:val="0046325C"/>
    <w:rsid w:val="0046379C"/>
    <w:rsid w:val="00464855"/>
    <w:rsid w:val="0046486F"/>
    <w:rsid w:val="004651BC"/>
    <w:rsid w:val="00465C2E"/>
    <w:rsid w:val="004668DB"/>
    <w:rsid w:val="00466EBC"/>
    <w:rsid w:val="004707BA"/>
    <w:rsid w:val="00470B58"/>
    <w:rsid w:val="00470ED7"/>
    <w:rsid w:val="004715F0"/>
    <w:rsid w:val="0047191B"/>
    <w:rsid w:val="00471D9B"/>
    <w:rsid w:val="004756A6"/>
    <w:rsid w:val="00475920"/>
    <w:rsid w:val="004761D4"/>
    <w:rsid w:val="0047649E"/>
    <w:rsid w:val="00480FE4"/>
    <w:rsid w:val="004818EB"/>
    <w:rsid w:val="004829C4"/>
    <w:rsid w:val="0048723A"/>
    <w:rsid w:val="004875A2"/>
    <w:rsid w:val="004875CB"/>
    <w:rsid w:val="00487720"/>
    <w:rsid w:val="00490190"/>
    <w:rsid w:val="00492394"/>
    <w:rsid w:val="00492CDE"/>
    <w:rsid w:val="004938D3"/>
    <w:rsid w:val="004944D6"/>
    <w:rsid w:val="00497FA4"/>
    <w:rsid w:val="004A07BC"/>
    <w:rsid w:val="004A1066"/>
    <w:rsid w:val="004A1CA0"/>
    <w:rsid w:val="004A1DE9"/>
    <w:rsid w:val="004A1E03"/>
    <w:rsid w:val="004A1F6B"/>
    <w:rsid w:val="004A233B"/>
    <w:rsid w:val="004A4516"/>
    <w:rsid w:val="004A465B"/>
    <w:rsid w:val="004A5AE2"/>
    <w:rsid w:val="004A5BD6"/>
    <w:rsid w:val="004A605B"/>
    <w:rsid w:val="004B09EA"/>
    <w:rsid w:val="004B1102"/>
    <w:rsid w:val="004B1299"/>
    <w:rsid w:val="004B140E"/>
    <w:rsid w:val="004B1501"/>
    <w:rsid w:val="004B16F4"/>
    <w:rsid w:val="004B1949"/>
    <w:rsid w:val="004B210E"/>
    <w:rsid w:val="004B22BD"/>
    <w:rsid w:val="004B3BFE"/>
    <w:rsid w:val="004B3F14"/>
    <w:rsid w:val="004B4ACA"/>
    <w:rsid w:val="004B7624"/>
    <w:rsid w:val="004B769C"/>
    <w:rsid w:val="004C0A1C"/>
    <w:rsid w:val="004C0DA7"/>
    <w:rsid w:val="004C11F5"/>
    <w:rsid w:val="004C1717"/>
    <w:rsid w:val="004C1B30"/>
    <w:rsid w:val="004C2967"/>
    <w:rsid w:val="004C31C3"/>
    <w:rsid w:val="004C393F"/>
    <w:rsid w:val="004C4ECE"/>
    <w:rsid w:val="004C5219"/>
    <w:rsid w:val="004C59CA"/>
    <w:rsid w:val="004C608B"/>
    <w:rsid w:val="004C6D9D"/>
    <w:rsid w:val="004C79B0"/>
    <w:rsid w:val="004D0E0F"/>
    <w:rsid w:val="004D165E"/>
    <w:rsid w:val="004D19F0"/>
    <w:rsid w:val="004D2D42"/>
    <w:rsid w:val="004D2FEC"/>
    <w:rsid w:val="004D36B3"/>
    <w:rsid w:val="004D4BBE"/>
    <w:rsid w:val="004D556D"/>
    <w:rsid w:val="004D575D"/>
    <w:rsid w:val="004D5B29"/>
    <w:rsid w:val="004D5BC6"/>
    <w:rsid w:val="004D67E0"/>
    <w:rsid w:val="004D6FD0"/>
    <w:rsid w:val="004D73B9"/>
    <w:rsid w:val="004D796C"/>
    <w:rsid w:val="004E107D"/>
    <w:rsid w:val="004E1FE4"/>
    <w:rsid w:val="004E21B6"/>
    <w:rsid w:val="004E283C"/>
    <w:rsid w:val="004E42BE"/>
    <w:rsid w:val="004E4A63"/>
    <w:rsid w:val="004E6841"/>
    <w:rsid w:val="004E7C36"/>
    <w:rsid w:val="004E7CF0"/>
    <w:rsid w:val="004E7CF2"/>
    <w:rsid w:val="004F070B"/>
    <w:rsid w:val="004F1368"/>
    <w:rsid w:val="004F216A"/>
    <w:rsid w:val="004F2458"/>
    <w:rsid w:val="004F2477"/>
    <w:rsid w:val="004F28CA"/>
    <w:rsid w:val="004F3160"/>
    <w:rsid w:val="004F4033"/>
    <w:rsid w:val="004F4095"/>
    <w:rsid w:val="004F4C05"/>
    <w:rsid w:val="004F5056"/>
    <w:rsid w:val="004F552E"/>
    <w:rsid w:val="004F650A"/>
    <w:rsid w:val="004F6E34"/>
    <w:rsid w:val="004F7F9B"/>
    <w:rsid w:val="005035C8"/>
    <w:rsid w:val="00503B63"/>
    <w:rsid w:val="00503C92"/>
    <w:rsid w:val="00506506"/>
    <w:rsid w:val="005101EC"/>
    <w:rsid w:val="00510586"/>
    <w:rsid w:val="00510FB4"/>
    <w:rsid w:val="005120FA"/>
    <w:rsid w:val="005153ED"/>
    <w:rsid w:val="00517805"/>
    <w:rsid w:val="00521AAF"/>
    <w:rsid w:val="005248DB"/>
    <w:rsid w:val="00525BF5"/>
    <w:rsid w:val="00526C5E"/>
    <w:rsid w:val="00526CA8"/>
    <w:rsid w:val="00530414"/>
    <w:rsid w:val="00532512"/>
    <w:rsid w:val="00533EE3"/>
    <w:rsid w:val="0053412E"/>
    <w:rsid w:val="0053433B"/>
    <w:rsid w:val="00535397"/>
    <w:rsid w:val="00535BAE"/>
    <w:rsid w:val="00540A51"/>
    <w:rsid w:val="00541288"/>
    <w:rsid w:val="00541D12"/>
    <w:rsid w:val="00543D0E"/>
    <w:rsid w:val="00545DAB"/>
    <w:rsid w:val="005464EA"/>
    <w:rsid w:val="00547764"/>
    <w:rsid w:val="00550899"/>
    <w:rsid w:val="00551B1B"/>
    <w:rsid w:val="0055309B"/>
    <w:rsid w:val="00553819"/>
    <w:rsid w:val="00553DA8"/>
    <w:rsid w:val="005547B3"/>
    <w:rsid w:val="005561FF"/>
    <w:rsid w:val="0055624C"/>
    <w:rsid w:val="00556A90"/>
    <w:rsid w:val="00556DA7"/>
    <w:rsid w:val="00557E3C"/>
    <w:rsid w:val="00561082"/>
    <w:rsid w:val="0056119E"/>
    <w:rsid w:val="00562B5A"/>
    <w:rsid w:val="005631E0"/>
    <w:rsid w:val="00564163"/>
    <w:rsid w:val="00565B3F"/>
    <w:rsid w:val="00565C6B"/>
    <w:rsid w:val="00566C16"/>
    <w:rsid w:val="005676F4"/>
    <w:rsid w:val="005679F0"/>
    <w:rsid w:val="00567FD1"/>
    <w:rsid w:val="005701AC"/>
    <w:rsid w:val="005709B8"/>
    <w:rsid w:val="00572C06"/>
    <w:rsid w:val="00572F8D"/>
    <w:rsid w:val="0057523D"/>
    <w:rsid w:val="0057534B"/>
    <w:rsid w:val="00576ADF"/>
    <w:rsid w:val="00577294"/>
    <w:rsid w:val="00577BAF"/>
    <w:rsid w:val="00577CF7"/>
    <w:rsid w:val="005801BA"/>
    <w:rsid w:val="0058098F"/>
    <w:rsid w:val="00580F15"/>
    <w:rsid w:val="00581454"/>
    <w:rsid w:val="00581B99"/>
    <w:rsid w:val="00581F31"/>
    <w:rsid w:val="0058297C"/>
    <w:rsid w:val="005829FB"/>
    <w:rsid w:val="00583887"/>
    <w:rsid w:val="005849CF"/>
    <w:rsid w:val="0058643E"/>
    <w:rsid w:val="00587BA1"/>
    <w:rsid w:val="0059154A"/>
    <w:rsid w:val="00591C40"/>
    <w:rsid w:val="00591CC6"/>
    <w:rsid w:val="0059228C"/>
    <w:rsid w:val="00593855"/>
    <w:rsid w:val="00593EFC"/>
    <w:rsid w:val="00594E37"/>
    <w:rsid w:val="00594E4B"/>
    <w:rsid w:val="0059530B"/>
    <w:rsid w:val="00595447"/>
    <w:rsid w:val="00595701"/>
    <w:rsid w:val="00595B10"/>
    <w:rsid w:val="00596027"/>
    <w:rsid w:val="00596DD2"/>
    <w:rsid w:val="005975FE"/>
    <w:rsid w:val="00597E05"/>
    <w:rsid w:val="005A0337"/>
    <w:rsid w:val="005A06EA"/>
    <w:rsid w:val="005A0744"/>
    <w:rsid w:val="005A1802"/>
    <w:rsid w:val="005A1D72"/>
    <w:rsid w:val="005A2F26"/>
    <w:rsid w:val="005A31FA"/>
    <w:rsid w:val="005A338E"/>
    <w:rsid w:val="005A362E"/>
    <w:rsid w:val="005A3C31"/>
    <w:rsid w:val="005B0204"/>
    <w:rsid w:val="005B0ECA"/>
    <w:rsid w:val="005B22E4"/>
    <w:rsid w:val="005B2632"/>
    <w:rsid w:val="005B2E42"/>
    <w:rsid w:val="005B419C"/>
    <w:rsid w:val="005B4CE2"/>
    <w:rsid w:val="005B4DC0"/>
    <w:rsid w:val="005B68C1"/>
    <w:rsid w:val="005B6BA8"/>
    <w:rsid w:val="005B74B9"/>
    <w:rsid w:val="005B7818"/>
    <w:rsid w:val="005C047E"/>
    <w:rsid w:val="005C05EE"/>
    <w:rsid w:val="005C1C10"/>
    <w:rsid w:val="005C1DEF"/>
    <w:rsid w:val="005C1FE9"/>
    <w:rsid w:val="005C2A0B"/>
    <w:rsid w:val="005C2FC1"/>
    <w:rsid w:val="005C503F"/>
    <w:rsid w:val="005C574C"/>
    <w:rsid w:val="005C5BB7"/>
    <w:rsid w:val="005C6469"/>
    <w:rsid w:val="005C6B01"/>
    <w:rsid w:val="005C6C3F"/>
    <w:rsid w:val="005D12BC"/>
    <w:rsid w:val="005D1D1D"/>
    <w:rsid w:val="005D1E3B"/>
    <w:rsid w:val="005D1F54"/>
    <w:rsid w:val="005D2433"/>
    <w:rsid w:val="005D2923"/>
    <w:rsid w:val="005D5A5A"/>
    <w:rsid w:val="005D5E70"/>
    <w:rsid w:val="005D6142"/>
    <w:rsid w:val="005D6F4B"/>
    <w:rsid w:val="005D7A36"/>
    <w:rsid w:val="005E0490"/>
    <w:rsid w:val="005E1AE0"/>
    <w:rsid w:val="005E1DA0"/>
    <w:rsid w:val="005E274B"/>
    <w:rsid w:val="005E3FBE"/>
    <w:rsid w:val="005E3FE5"/>
    <w:rsid w:val="005E4904"/>
    <w:rsid w:val="005E49BE"/>
    <w:rsid w:val="005E504A"/>
    <w:rsid w:val="005E54E0"/>
    <w:rsid w:val="005E70B8"/>
    <w:rsid w:val="005F0870"/>
    <w:rsid w:val="005F169A"/>
    <w:rsid w:val="005F17E8"/>
    <w:rsid w:val="005F26DF"/>
    <w:rsid w:val="005F2709"/>
    <w:rsid w:val="005F31BB"/>
    <w:rsid w:val="005F3A91"/>
    <w:rsid w:val="005F3E6E"/>
    <w:rsid w:val="005F46A0"/>
    <w:rsid w:val="005F4828"/>
    <w:rsid w:val="005F5164"/>
    <w:rsid w:val="0060059A"/>
    <w:rsid w:val="006017B9"/>
    <w:rsid w:val="0060232A"/>
    <w:rsid w:val="006031ED"/>
    <w:rsid w:val="00603433"/>
    <w:rsid w:val="00605780"/>
    <w:rsid w:val="00605E96"/>
    <w:rsid w:val="00606CD7"/>
    <w:rsid w:val="00607D6F"/>
    <w:rsid w:val="00610C08"/>
    <w:rsid w:val="006111B6"/>
    <w:rsid w:val="00612213"/>
    <w:rsid w:val="006133B3"/>
    <w:rsid w:val="00614320"/>
    <w:rsid w:val="006143B7"/>
    <w:rsid w:val="00614EAF"/>
    <w:rsid w:val="00614FB6"/>
    <w:rsid w:val="0061570A"/>
    <w:rsid w:val="0061726B"/>
    <w:rsid w:val="00617C88"/>
    <w:rsid w:val="00622AD1"/>
    <w:rsid w:val="0062305D"/>
    <w:rsid w:val="006233F8"/>
    <w:rsid w:val="00624055"/>
    <w:rsid w:val="006241A3"/>
    <w:rsid w:val="00624541"/>
    <w:rsid w:val="006246A9"/>
    <w:rsid w:val="00625705"/>
    <w:rsid w:val="006261E0"/>
    <w:rsid w:val="0062672F"/>
    <w:rsid w:val="00633AB1"/>
    <w:rsid w:val="00633FFE"/>
    <w:rsid w:val="006352F1"/>
    <w:rsid w:val="00635B9F"/>
    <w:rsid w:val="00636F33"/>
    <w:rsid w:val="006374C3"/>
    <w:rsid w:val="00641A24"/>
    <w:rsid w:val="006421CB"/>
    <w:rsid w:val="006422B0"/>
    <w:rsid w:val="00642773"/>
    <w:rsid w:val="00643B84"/>
    <w:rsid w:val="006445A9"/>
    <w:rsid w:val="00644B57"/>
    <w:rsid w:val="006464E8"/>
    <w:rsid w:val="00646CA5"/>
    <w:rsid w:val="00647B40"/>
    <w:rsid w:val="00647D60"/>
    <w:rsid w:val="00647EFC"/>
    <w:rsid w:val="00650E15"/>
    <w:rsid w:val="00651B83"/>
    <w:rsid w:val="006521FE"/>
    <w:rsid w:val="0065387D"/>
    <w:rsid w:val="006544BC"/>
    <w:rsid w:val="0065666A"/>
    <w:rsid w:val="00657A91"/>
    <w:rsid w:val="006602F5"/>
    <w:rsid w:val="00660C3E"/>
    <w:rsid w:val="0066159A"/>
    <w:rsid w:val="006622DE"/>
    <w:rsid w:val="00662CE8"/>
    <w:rsid w:val="00662D7D"/>
    <w:rsid w:val="00663287"/>
    <w:rsid w:val="00665A64"/>
    <w:rsid w:val="00665B0C"/>
    <w:rsid w:val="0067177D"/>
    <w:rsid w:val="00671D84"/>
    <w:rsid w:val="00674739"/>
    <w:rsid w:val="00674C62"/>
    <w:rsid w:val="00676F2E"/>
    <w:rsid w:val="00677F55"/>
    <w:rsid w:val="00680C4C"/>
    <w:rsid w:val="00681200"/>
    <w:rsid w:val="00681515"/>
    <w:rsid w:val="00682160"/>
    <w:rsid w:val="0068242F"/>
    <w:rsid w:val="006825AA"/>
    <w:rsid w:val="00683ABF"/>
    <w:rsid w:val="00683B00"/>
    <w:rsid w:val="00683D48"/>
    <w:rsid w:val="0068466B"/>
    <w:rsid w:val="006846A9"/>
    <w:rsid w:val="00684E3E"/>
    <w:rsid w:val="006851E3"/>
    <w:rsid w:val="00685759"/>
    <w:rsid w:val="00685B49"/>
    <w:rsid w:val="006862D3"/>
    <w:rsid w:val="00687137"/>
    <w:rsid w:val="006876CB"/>
    <w:rsid w:val="00687DC4"/>
    <w:rsid w:val="006904AC"/>
    <w:rsid w:val="00690A0A"/>
    <w:rsid w:val="00691B9A"/>
    <w:rsid w:val="006920F2"/>
    <w:rsid w:val="0069256E"/>
    <w:rsid w:val="0069257F"/>
    <w:rsid w:val="00692E5D"/>
    <w:rsid w:val="006939FA"/>
    <w:rsid w:val="00693F95"/>
    <w:rsid w:val="00695511"/>
    <w:rsid w:val="006967EF"/>
    <w:rsid w:val="00696A85"/>
    <w:rsid w:val="00696AB2"/>
    <w:rsid w:val="006A163F"/>
    <w:rsid w:val="006A2007"/>
    <w:rsid w:val="006A261E"/>
    <w:rsid w:val="006A365B"/>
    <w:rsid w:val="006A3843"/>
    <w:rsid w:val="006A4CE1"/>
    <w:rsid w:val="006A691F"/>
    <w:rsid w:val="006A6C85"/>
    <w:rsid w:val="006A7745"/>
    <w:rsid w:val="006B0309"/>
    <w:rsid w:val="006B1196"/>
    <w:rsid w:val="006B281B"/>
    <w:rsid w:val="006B2DDA"/>
    <w:rsid w:val="006B3DFC"/>
    <w:rsid w:val="006B4D78"/>
    <w:rsid w:val="006B4DA3"/>
    <w:rsid w:val="006B5A87"/>
    <w:rsid w:val="006B60AA"/>
    <w:rsid w:val="006B6AA9"/>
    <w:rsid w:val="006B6E43"/>
    <w:rsid w:val="006B713D"/>
    <w:rsid w:val="006B767C"/>
    <w:rsid w:val="006C03AF"/>
    <w:rsid w:val="006C03C3"/>
    <w:rsid w:val="006C06F2"/>
    <w:rsid w:val="006C0A6A"/>
    <w:rsid w:val="006C1668"/>
    <w:rsid w:val="006C1EBC"/>
    <w:rsid w:val="006C1FDF"/>
    <w:rsid w:val="006C2217"/>
    <w:rsid w:val="006C369C"/>
    <w:rsid w:val="006C408F"/>
    <w:rsid w:val="006C508A"/>
    <w:rsid w:val="006C5180"/>
    <w:rsid w:val="006C68DF"/>
    <w:rsid w:val="006C7891"/>
    <w:rsid w:val="006D0AEF"/>
    <w:rsid w:val="006D2FD2"/>
    <w:rsid w:val="006D3AB5"/>
    <w:rsid w:val="006D5ECD"/>
    <w:rsid w:val="006D7859"/>
    <w:rsid w:val="006D7BE9"/>
    <w:rsid w:val="006E05A6"/>
    <w:rsid w:val="006E0C0A"/>
    <w:rsid w:val="006E19B2"/>
    <w:rsid w:val="006E327E"/>
    <w:rsid w:val="006E3506"/>
    <w:rsid w:val="006E354D"/>
    <w:rsid w:val="006E5284"/>
    <w:rsid w:val="006E5D13"/>
    <w:rsid w:val="006E7B65"/>
    <w:rsid w:val="006F04DC"/>
    <w:rsid w:val="006F0A5C"/>
    <w:rsid w:val="006F118E"/>
    <w:rsid w:val="006F1BEA"/>
    <w:rsid w:val="006F3343"/>
    <w:rsid w:val="006F3D2A"/>
    <w:rsid w:val="006F3EDD"/>
    <w:rsid w:val="006F4292"/>
    <w:rsid w:val="006F4A81"/>
    <w:rsid w:val="006F4D48"/>
    <w:rsid w:val="006F5609"/>
    <w:rsid w:val="006F668F"/>
    <w:rsid w:val="006F6F4B"/>
    <w:rsid w:val="00700F98"/>
    <w:rsid w:val="007013BD"/>
    <w:rsid w:val="007018B8"/>
    <w:rsid w:val="007037C0"/>
    <w:rsid w:val="0070691D"/>
    <w:rsid w:val="00710B81"/>
    <w:rsid w:val="00710BA9"/>
    <w:rsid w:val="0071141C"/>
    <w:rsid w:val="00711583"/>
    <w:rsid w:val="00711903"/>
    <w:rsid w:val="00712557"/>
    <w:rsid w:val="0071493B"/>
    <w:rsid w:val="00714E90"/>
    <w:rsid w:val="0071514F"/>
    <w:rsid w:val="00715214"/>
    <w:rsid w:val="0071699C"/>
    <w:rsid w:val="00717854"/>
    <w:rsid w:val="00720328"/>
    <w:rsid w:val="007205E5"/>
    <w:rsid w:val="0072072A"/>
    <w:rsid w:val="0072175D"/>
    <w:rsid w:val="00722815"/>
    <w:rsid w:val="00723411"/>
    <w:rsid w:val="00725957"/>
    <w:rsid w:val="0072625C"/>
    <w:rsid w:val="00726F95"/>
    <w:rsid w:val="007273C6"/>
    <w:rsid w:val="00730621"/>
    <w:rsid w:val="00731470"/>
    <w:rsid w:val="00732051"/>
    <w:rsid w:val="00732D93"/>
    <w:rsid w:val="007336D8"/>
    <w:rsid w:val="00735441"/>
    <w:rsid w:val="007355A2"/>
    <w:rsid w:val="00735B54"/>
    <w:rsid w:val="00735DA4"/>
    <w:rsid w:val="007371D3"/>
    <w:rsid w:val="00737E5E"/>
    <w:rsid w:val="00741085"/>
    <w:rsid w:val="00741252"/>
    <w:rsid w:val="007426E4"/>
    <w:rsid w:val="00742A1A"/>
    <w:rsid w:val="00742C5A"/>
    <w:rsid w:val="0074446D"/>
    <w:rsid w:val="00744E12"/>
    <w:rsid w:val="0074511B"/>
    <w:rsid w:val="00745A50"/>
    <w:rsid w:val="0075045C"/>
    <w:rsid w:val="00750648"/>
    <w:rsid w:val="00754300"/>
    <w:rsid w:val="007561B6"/>
    <w:rsid w:val="007564AF"/>
    <w:rsid w:val="007578FC"/>
    <w:rsid w:val="007608F7"/>
    <w:rsid w:val="00762049"/>
    <w:rsid w:val="0076231B"/>
    <w:rsid w:val="007628CE"/>
    <w:rsid w:val="00762965"/>
    <w:rsid w:val="00764378"/>
    <w:rsid w:val="007653E5"/>
    <w:rsid w:val="00765CD2"/>
    <w:rsid w:val="00765DF5"/>
    <w:rsid w:val="00765DFA"/>
    <w:rsid w:val="0076649C"/>
    <w:rsid w:val="00770239"/>
    <w:rsid w:val="00771A33"/>
    <w:rsid w:val="00773F14"/>
    <w:rsid w:val="007742D8"/>
    <w:rsid w:val="00776686"/>
    <w:rsid w:val="00776D4D"/>
    <w:rsid w:val="0078071C"/>
    <w:rsid w:val="00780E09"/>
    <w:rsid w:val="00782EB9"/>
    <w:rsid w:val="007830CD"/>
    <w:rsid w:val="007833CF"/>
    <w:rsid w:val="00783B1A"/>
    <w:rsid w:val="00783DC9"/>
    <w:rsid w:val="0078447B"/>
    <w:rsid w:val="00785794"/>
    <w:rsid w:val="00785F47"/>
    <w:rsid w:val="007862D4"/>
    <w:rsid w:val="007870D3"/>
    <w:rsid w:val="00787AEA"/>
    <w:rsid w:val="00787EE4"/>
    <w:rsid w:val="00792326"/>
    <w:rsid w:val="007933AA"/>
    <w:rsid w:val="00793BAA"/>
    <w:rsid w:val="00793E80"/>
    <w:rsid w:val="00793F54"/>
    <w:rsid w:val="00794B2A"/>
    <w:rsid w:val="00794F3F"/>
    <w:rsid w:val="00795908"/>
    <w:rsid w:val="00796347"/>
    <w:rsid w:val="00797BC8"/>
    <w:rsid w:val="007A0363"/>
    <w:rsid w:val="007A0DDA"/>
    <w:rsid w:val="007A0E57"/>
    <w:rsid w:val="007A134B"/>
    <w:rsid w:val="007A1CE3"/>
    <w:rsid w:val="007A2A28"/>
    <w:rsid w:val="007A32E6"/>
    <w:rsid w:val="007A35BA"/>
    <w:rsid w:val="007A3D23"/>
    <w:rsid w:val="007A452B"/>
    <w:rsid w:val="007A5549"/>
    <w:rsid w:val="007B1A47"/>
    <w:rsid w:val="007B44AF"/>
    <w:rsid w:val="007B4F0B"/>
    <w:rsid w:val="007B5310"/>
    <w:rsid w:val="007B61EE"/>
    <w:rsid w:val="007B6DD3"/>
    <w:rsid w:val="007B792F"/>
    <w:rsid w:val="007C010F"/>
    <w:rsid w:val="007C05A2"/>
    <w:rsid w:val="007C2647"/>
    <w:rsid w:val="007C30D4"/>
    <w:rsid w:val="007C3200"/>
    <w:rsid w:val="007C338C"/>
    <w:rsid w:val="007C4EAF"/>
    <w:rsid w:val="007C5DF9"/>
    <w:rsid w:val="007C6015"/>
    <w:rsid w:val="007C642E"/>
    <w:rsid w:val="007C67F4"/>
    <w:rsid w:val="007C6DCA"/>
    <w:rsid w:val="007D0243"/>
    <w:rsid w:val="007D2C74"/>
    <w:rsid w:val="007D3378"/>
    <w:rsid w:val="007D4082"/>
    <w:rsid w:val="007D52B4"/>
    <w:rsid w:val="007D59A2"/>
    <w:rsid w:val="007D68CB"/>
    <w:rsid w:val="007D773E"/>
    <w:rsid w:val="007E0925"/>
    <w:rsid w:val="007E09FE"/>
    <w:rsid w:val="007E0D58"/>
    <w:rsid w:val="007E1478"/>
    <w:rsid w:val="007E19CD"/>
    <w:rsid w:val="007E1CD5"/>
    <w:rsid w:val="007E3DD8"/>
    <w:rsid w:val="007E3F43"/>
    <w:rsid w:val="007E5B9D"/>
    <w:rsid w:val="007E644A"/>
    <w:rsid w:val="007E69A5"/>
    <w:rsid w:val="007E6CF5"/>
    <w:rsid w:val="007E7219"/>
    <w:rsid w:val="007E7E44"/>
    <w:rsid w:val="007F0EE6"/>
    <w:rsid w:val="007F1B0D"/>
    <w:rsid w:val="007F2327"/>
    <w:rsid w:val="007F28FE"/>
    <w:rsid w:val="007F2CE3"/>
    <w:rsid w:val="007F3D78"/>
    <w:rsid w:val="007F4431"/>
    <w:rsid w:val="007F5597"/>
    <w:rsid w:val="007F5762"/>
    <w:rsid w:val="007F6075"/>
    <w:rsid w:val="007F6158"/>
    <w:rsid w:val="007F7452"/>
    <w:rsid w:val="007F747C"/>
    <w:rsid w:val="00800BA2"/>
    <w:rsid w:val="00801569"/>
    <w:rsid w:val="00802CBD"/>
    <w:rsid w:val="008035C5"/>
    <w:rsid w:val="008039AD"/>
    <w:rsid w:val="00804A80"/>
    <w:rsid w:val="008060A6"/>
    <w:rsid w:val="00807961"/>
    <w:rsid w:val="00811503"/>
    <w:rsid w:val="0081368C"/>
    <w:rsid w:val="0081397C"/>
    <w:rsid w:val="0081400A"/>
    <w:rsid w:val="00816646"/>
    <w:rsid w:val="00817A5B"/>
    <w:rsid w:val="008202DC"/>
    <w:rsid w:val="008203ED"/>
    <w:rsid w:val="00820F5F"/>
    <w:rsid w:val="00821A54"/>
    <w:rsid w:val="00821C99"/>
    <w:rsid w:val="00822321"/>
    <w:rsid w:val="008223CF"/>
    <w:rsid w:val="008232B9"/>
    <w:rsid w:val="0082455A"/>
    <w:rsid w:val="00826347"/>
    <w:rsid w:val="00826E44"/>
    <w:rsid w:val="00831098"/>
    <w:rsid w:val="00831D4D"/>
    <w:rsid w:val="0083234A"/>
    <w:rsid w:val="00832A39"/>
    <w:rsid w:val="00834135"/>
    <w:rsid w:val="008343B9"/>
    <w:rsid w:val="008344D5"/>
    <w:rsid w:val="00834FCC"/>
    <w:rsid w:val="00835CE8"/>
    <w:rsid w:val="0083613F"/>
    <w:rsid w:val="008362A1"/>
    <w:rsid w:val="0083684F"/>
    <w:rsid w:val="00836F45"/>
    <w:rsid w:val="008370C5"/>
    <w:rsid w:val="0083734C"/>
    <w:rsid w:val="0084057C"/>
    <w:rsid w:val="008415D1"/>
    <w:rsid w:val="00842F12"/>
    <w:rsid w:val="00843196"/>
    <w:rsid w:val="00843B54"/>
    <w:rsid w:val="00843BEC"/>
    <w:rsid w:val="008443F7"/>
    <w:rsid w:val="00845252"/>
    <w:rsid w:val="0084525F"/>
    <w:rsid w:val="00846658"/>
    <w:rsid w:val="00846EA7"/>
    <w:rsid w:val="00846F9F"/>
    <w:rsid w:val="008500F8"/>
    <w:rsid w:val="00850A16"/>
    <w:rsid w:val="00850C92"/>
    <w:rsid w:val="00851AAF"/>
    <w:rsid w:val="00854D9F"/>
    <w:rsid w:val="008561B7"/>
    <w:rsid w:val="00856C45"/>
    <w:rsid w:val="00857367"/>
    <w:rsid w:val="008575EF"/>
    <w:rsid w:val="0086059D"/>
    <w:rsid w:val="00860682"/>
    <w:rsid w:val="00860F84"/>
    <w:rsid w:val="00861AA8"/>
    <w:rsid w:val="00863121"/>
    <w:rsid w:val="008633AD"/>
    <w:rsid w:val="0086356E"/>
    <w:rsid w:val="00863B39"/>
    <w:rsid w:val="00864382"/>
    <w:rsid w:val="008644DE"/>
    <w:rsid w:val="00864721"/>
    <w:rsid w:val="008658AD"/>
    <w:rsid w:val="008669B2"/>
    <w:rsid w:val="008706E4"/>
    <w:rsid w:val="00871BAB"/>
    <w:rsid w:val="0087276F"/>
    <w:rsid w:val="00873E6E"/>
    <w:rsid w:val="00874D7A"/>
    <w:rsid w:val="00876719"/>
    <w:rsid w:val="008767E6"/>
    <w:rsid w:val="008768DB"/>
    <w:rsid w:val="00881ADA"/>
    <w:rsid w:val="0088205E"/>
    <w:rsid w:val="00882751"/>
    <w:rsid w:val="00883C23"/>
    <w:rsid w:val="00883EE5"/>
    <w:rsid w:val="00884EE0"/>
    <w:rsid w:val="00885482"/>
    <w:rsid w:val="008856E8"/>
    <w:rsid w:val="008864EB"/>
    <w:rsid w:val="008868A8"/>
    <w:rsid w:val="00887147"/>
    <w:rsid w:val="00887B1C"/>
    <w:rsid w:val="00887F13"/>
    <w:rsid w:val="008903B4"/>
    <w:rsid w:val="00890816"/>
    <w:rsid w:val="008916D4"/>
    <w:rsid w:val="008926E3"/>
    <w:rsid w:val="00892B62"/>
    <w:rsid w:val="00892C44"/>
    <w:rsid w:val="0089327A"/>
    <w:rsid w:val="00893A9F"/>
    <w:rsid w:val="0089560D"/>
    <w:rsid w:val="00895E93"/>
    <w:rsid w:val="00897469"/>
    <w:rsid w:val="008A0F85"/>
    <w:rsid w:val="008A297E"/>
    <w:rsid w:val="008A2E95"/>
    <w:rsid w:val="008A3DC0"/>
    <w:rsid w:val="008A4D8F"/>
    <w:rsid w:val="008A6349"/>
    <w:rsid w:val="008A7D38"/>
    <w:rsid w:val="008B0D3B"/>
    <w:rsid w:val="008B2E20"/>
    <w:rsid w:val="008B2E76"/>
    <w:rsid w:val="008B30F7"/>
    <w:rsid w:val="008B3883"/>
    <w:rsid w:val="008B43A2"/>
    <w:rsid w:val="008B4D2F"/>
    <w:rsid w:val="008B4FD3"/>
    <w:rsid w:val="008B5E54"/>
    <w:rsid w:val="008B70D9"/>
    <w:rsid w:val="008B7A84"/>
    <w:rsid w:val="008C029F"/>
    <w:rsid w:val="008C1215"/>
    <w:rsid w:val="008C1D40"/>
    <w:rsid w:val="008C2CBE"/>
    <w:rsid w:val="008C2F33"/>
    <w:rsid w:val="008C3FEE"/>
    <w:rsid w:val="008C4769"/>
    <w:rsid w:val="008C489D"/>
    <w:rsid w:val="008C5A12"/>
    <w:rsid w:val="008C7061"/>
    <w:rsid w:val="008D0D76"/>
    <w:rsid w:val="008D173B"/>
    <w:rsid w:val="008D202F"/>
    <w:rsid w:val="008D252C"/>
    <w:rsid w:val="008D40A2"/>
    <w:rsid w:val="008D43FE"/>
    <w:rsid w:val="008D4BA5"/>
    <w:rsid w:val="008D773D"/>
    <w:rsid w:val="008E0344"/>
    <w:rsid w:val="008E10A4"/>
    <w:rsid w:val="008E1DFF"/>
    <w:rsid w:val="008E2104"/>
    <w:rsid w:val="008E3166"/>
    <w:rsid w:val="008E38D8"/>
    <w:rsid w:val="008E40B0"/>
    <w:rsid w:val="008E4356"/>
    <w:rsid w:val="008E49F4"/>
    <w:rsid w:val="008E4DF3"/>
    <w:rsid w:val="008E5EDD"/>
    <w:rsid w:val="008E6BA2"/>
    <w:rsid w:val="008E7CE9"/>
    <w:rsid w:val="008F12EE"/>
    <w:rsid w:val="008F132D"/>
    <w:rsid w:val="008F215C"/>
    <w:rsid w:val="008F3093"/>
    <w:rsid w:val="008F3DD2"/>
    <w:rsid w:val="008F3F5C"/>
    <w:rsid w:val="008F64FA"/>
    <w:rsid w:val="008F6E25"/>
    <w:rsid w:val="008F75B3"/>
    <w:rsid w:val="0090047F"/>
    <w:rsid w:val="009004F7"/>
    <w:rsid w:val="00900614"/>
    <w:rsid w:val="0090104A"/>
    <w:rsid w:val="009016B1"/>
    <w:rsid w:val="0090198B"/>
    <w:rsid w:val="0090208D"/>
    <w:rsid w:val="00902C6A"/>
    <w:rsid w:val="00903CDD"/>
    <w:rsid w:val="00904047"/>
    <w:rsid w:val="00904F3F"/>
    <w:rsid w:val="009064B5"/>
    <w:rsid w:val="009079CF"/>
    <w:rsid w:val="00910E12"/>
    <w:rsid w:val="00911141"/>
    <w:rsid w:val="00913283"/>
    <w:rsid w:val="00913BAA"/>
    <w:rsid w:val="00913F92"/>
    <w:rsid w:val="009151CA"/>
    <w:rsid w:val="00915515"/>
    <w:rsid w:val="00915654"/>
    <w:rsid w:val="00916E8B"/>
    <w:rsid w:val="00916F8B"/>
    <w:rsid w:val="0091784C"/>
    <w:rsid w:val="009226F0"/>
    <w:rsid w:val="00922A3A"/>
    <w:rsid w:val="0092367F"/>
    <w:rsid w:val="0092550A"/>
    <w:rsid w:val="009256E1"/>
    <w:rsid w:val="00927A90"/>
    <w:rsid w:val="00931003"/>
    <w:rsid w:val="00931A21"/>
    <w:rsid w:val="00932AE7"/>
    <w:rsid w:val="0093549B"/>
    <w:rsid w:val="0093583F"/>
    <w:rsid w:val="009362CE"/>
    <w:rsid w:val="0093650A"/>
    <w:rsid w:val="00937F44"/>
    <w:rsid w:val="009401DB"/>
    <w:rsid w:val="009407BE"/>
    <w:rsid w:val="00940B05"/>
    <w:rsid w:val="00942190"/>
    <w:rsid w:val="00946142"/>
    <w:rsid w:val="0095160D"/>
    <w:rsid w:val="009522DA"/>
    <w:rsid w:val="009528C3"/>
    <w:rsid w:val="009530D4"/>
    <w:rsid w:val="00953117"/>
    <w:rsid w:val="009537BB"/>
    <w:rsid w:val="00953EA2"/>
    <w:rsid w:val="00955241"/>
    <w:rsid w:val="00955724"/>
    <w:rsid w:val="009564E1"/>
    <w:rsid w:val="00957091"/>
    <w:rsid w:val="009579B0"/>
    <w:rsid w:val="00960015"/>
    <w:rsid w:val="009602AC"/>
    <w:rsid w:val="00960DC1"/>
    <w:rsid w:val="00961B44"/>
    <w:rsid w:val="00962890"/>
    <w:rsid w:val="00963A0F"/>
    <w:rsid w:val="009641FF"/>
    <w:rsid w:val="009647A4"/>
    <w:rsid w:val="00964D52"/>
    <w:rsid w:val="0096514C"/>
    <w:rsid w:val="00965B98"/>
    <w:rsid w:val="00966063"/>
    <w:rsid w:val="00966137"/>
    <w:rsid w:val="00966DAB"/>
    <w:rsid w:val="0096790A"/>
    <w:rsid w:val="00971341"/>
    <w:rsid w:val="00972317"/>
    <w:rsid w:val="00972C7E"/>
    <w:rsid w:val="00973C93"/>
    <w:rsid w:val="00973D61"/>
    <w:rsid w:val="00973F78"/>
    <w:rsid w:val="009744EB"/>
    <w:rsid w:val="00974751"/>
    <w:rsid w:val="00974ADD"/>
    <w:rsid w:val="00974D87"/>
    <w:rsid w:val="00975276"/>
    <w:rsid w:val="0097554A"/>
    <w:rsid w:val="00975735"/>
    <w:rsid w:val="00977839"/>
    <w:rsid w:val="00977D53"/>
    <w:rsid w:val="009818C9"/>
    <w:rsid w:val="00982D3D"/>
    <w:rsid w:val="0098322E"/>
    <w:rsid w:val="00983A91"/>
    <w:rsid w:val="0098483F"/>
    <w:rsid w:val="00986345"/>
    <w:rsid w:val="00987E40"/>
    <w:rsid w:val="00992B43"/>
    <w:rsid w:val="00992D4C"/>
    <w:rsid w:val="00994793"/>
    <w:rsid w:val="00994F11"/>
    <w:rsid w:val="009A02BE"/>
    <w:rsid w:val="009A033D"/>
    <w:rsid w:val="009A093E"/>
    <w:rsid w:val="009A1064"/>
    <w:rsid w:val="009A31BC"/>
    <w:rsid w:val="009A486E"/>
    <w:rsid w:val="009A4D7B"/>
    <w:rsid w:val="009A557C"/>
    <w:rsid w:val="009A5C8D"/>
    <w:rsid w:val="009A66D9"/>
    <w:rsid w:val="009A70F5"/>
    <w:rsid w:val="009B13E0"/>
    <w:rsid w:val="009B14BD"/>
    <w:rsid w:val="009B3256"/>
    <w:rsid w:val="009B3FFE"/>
    <w:rsid w:val="009B4A68"/>
    <w:rsid w:val="009B4F2A"/>
    <w:rsid w:val="009B54E2"/>
    <w:rsid w:val="009B7495"/>
    <w:rsid w:val="009C0A2D"/>
    <w:rsid w:val="009C0B76"/>
    <w:rsid w:val="009C0FA6"/>
    <w:rsid w:val="009C20E8"/>
    <w:rsid w:val="009C2795"/>
    <w:rsid w:val="009C4511"/>
    <w:rsid w:val="009C4B5D"/>
    <w:rsid w:val="009D00EE"/>
    <w:rsid w:val="009D0224"/>
    <w:rsid w:val="009D0FE5"/>
    <w:rsid w:val="009D1183"/>
    <w:rsid w:val="009D1EAA"/>
    <w:rsid w:val="009D3FA1"/>
    <w:rsid w:val="009D4C20"/>
    <w:rsid w:val="009D5643"/>
    <w:rsid w:val="009D5FF2"/>
    <w:rsid w:val="009D6D4B"/>
    <w:rsid w:val="009D7FAF"/>
    <w:rsid w:val="009E07D0"/>
    <w:rsid w:val="009E136D"/>
    <w:rsid w:val="009E1A03"/>
    <w:rsid w:val="009E3C78"/>
    <w:rsid w:val="009E6398"/>
    <w:rsid w:val="009E63CB"/>
    <w:rsid w:val="009E645E"/>
    <w:rsid w:val="009E72BD"/>
    <w:rsid w:val="009F0329"/>
    <w:rsid w:val="009F091F"/>
    <w:rsid w:val="009F0C23"/>
    <w:rsid w:val="009F1351"/>
    <w:rsid w:val="009F139E"/>
    <w:rsid w:val="009F16B0"/>
    <w:rsid w:val="009F17E7"/>
    <w:rsid w:val="009F228C"/>
    <w:rsid w:val="009F297E"/>
    <w:rsid w:val="009F43D6"/>
    <w:rsid w:val="009F62C4"/>
    <w:rsid w:val="009F66B6"/>
    <w:rsid w:val="009F6C00"/>
    <w:rsid w:val="009F6C94"/>
    <w:rsid w:val="009F78F2"/>
    <w:rsid w:val="00A00356"/>
    <w:rsid w:val="00A01105"/>
    <w:rsid w:val="00A01254"/>
    <w:rsid w:val="00A01C90"/>
    <w:rsid w:val="00A02C85"/>
    <w:rsid w:val="00A03016"/>
    <w:rsid w:val="00A030F9"/>
    <w:rsid w:val="00A0484F"/>
    <w:rsid w:val="00A04884"/>
    <w:rsid w:val="00A04967"/>
    <w:rsid w:val="00A05906"/>
    <w:rsid w:val="00A06715"/>
    <w:rsid w:val="00A075A9"/>
    <w:rsid w:val="00A07908"/>
    <w:rsid w:val="00A10CA9"/>
    <w:rsid w:val="00A11304"/>
    <w:rsid w:val="00A11747"/>
    <w:rsid w:val="00A132D8"/>
    <w:rsid w:val="00A13A74"/>
    <w:rsid w:val="00A13E25"/>
    <w:rsid w:val="00A15402"/>
    <w:rsid w:val="00A158E6"/>
    <w:rsid w:val="00A169B9"/>
    <w:rsid w:val="00A17A50"/>
    <w:rsid w:val="00A17BFD"/>
    <w:rsid w:val="00A20337"/>
    <w:rsid w:val="00A212F9"/>
    <w:rsid w:val="00A2264E"/>
    <w:rsid w:val="00A23228"/>
    <w:rsid w:val="00A2335B"/>
    <w:rsid w:val="00A237C0"/>
    <w:rsid w:val="00A23885"/>
    <w:rsid w:val="00A2432F"/>
    <w:rsid w:val="00A248CE"/>
    <w:rsid w:val="00A24D5A"/>
    <w:rsid w:val="00A258E7"/>
    <w:rsid w:val="00A25C0E"/>
    <w:rsid w:val="00A25C79"/>
    <w:rsid w:val="00A27C9F"/>
    <w:rsid w:val="00A30162"/>
    <w:rsid w:val="00A33213"/>
    <w:rsid w:val="00A33535"/>
    <w:rsid w:val="00A33ED7"/>
    <w:rsid w:val="00A341AB"/>
    <w:rsid w:val="00A34D0C"/>
    <w:rsid w:val="00A35A19"/>
    <w:rsid w:val="00A36999"/>
    <w:rsid w:val="00A36C3D"/>
    <w:rsid w:val="00A370E3"/>
    <w:rsid w:val="00A40355"/>
    <w:rsid w:val="00A40E00"/>
    <w:rsid w:val="00A41877"/>
    <w:rsid w:val="00A41E6B"/>
    <w:rsid w:val="00A42AC0"/>
    <w:rsid w:val="00A43153"/>
    <w:rsid w:val="00A43397"/>
    <w:rsid w:val="00A44F5C"/>
    <w:rsid w:val="00A454D8"/>
    <w:rsid w:val="00A52B10"/>
    <w:rsid w:val="00A55612"/>
    <w:rsid w:val="00A56362"/>
    <w:rsid w:val="00A57A4A"/>
    <w:rsid w:val="00A57C54"/>
    <w:rsid w:val="00A6007A"/>
    <w:rsid w:val="00A60EDB"/>
    <w:rsid w:val="00A61225"/>
    <w:rsid w:val="00A61F6E"/>
    <w:rsid w:val="00A62B74"/>
    <w:rsid w:val="00A633C9"/>
    <w:rsid w:val="00A633DE"/>
    <w:rsid w:val="00A64DA7"/>
    <w:rsid w:val="00A64FB7"/>
    <w:rsid w:val="00A64FF8"/>
    <w:rsid w:val="00A6572E"/>
    <w:rsid w:val="00A658BB"/>
    <w:rsid w:val="00A66497"/>
    <w:rsid w:val="00A70436"/>
    <w:rsid w:val="00A70D38"/>
    <w:rsid w:val="00A715E8"/>
    <w:rsid w:val="00A71836"/>
    <w:rsid w:val="00A71BD9"/>
    <w:rsid w:val="00A71DCD"/>
    <w:rsid w:val="00A720AE"/>
    <w:rsid w:val="00A734D4"/>
    <w:rsid w:val="00A738DE"/>
    <w:rsid w:val="00A73A40"/>
    <w:rsid w:val="00A74C53"/>
    <w:rsid w:val="00A74DAE"/>
    <w:rsid w:val="00A74EC6"/>
    <w:rsid w:val="00A74F02"/>
    <w:rsid w:val="00A754AC"/>
    <w:rsid w:val="00A76D95"/>
    <w:rsid w:val="00A7712F"/>
    <w:rsid w:val="00A77583"/>
    <w:rsid w:val="00A776BA"/>
    <w:rsid w:val="00A77B4F"/>
    <w:rsid w:val="00A77D31"/>
    <w:rsid w:val="00A80413"/>
    <w:rsid w:val="00A80E79"/>
    <w:rsid w:val="00A83511"/>
    <w:rsid w:val="00A83551"/>
    <w:rsid w:val="00A83D0A"/>
    <w:rsid w:val="00A84017"/>
    <w:rsid w:val="00A8460D"/>
    <w:rsid w:val="00A85C71"/>
    <w:rsid w:val="00A860EF"/>
    <w:rsid w:val="00A8696C"/>
    <w:rsid w:val="00A86D5A"/>
    <w:rsid w:val="00A87984"/>
    <w:rsid w:val="00A87EE5"/>
    <w:rsid w:val="00A90320"/>
    <w:rsid w:val="00A905CB"/>
    <w:rsid w:val="00A912DF"/>
    <w:rsid w:val="00A91E51"/>
    <w:rsid w:val="00A91EB5"/>
    <w:rsid w:val="00A9221F"/>
    <w:rsid w:val="00A939EB"/>
    <w:rsid w:val="00A93B82"/>
    <w:rsid w:val="00A964C2"/>
    <w:rsid w:val="00A9685A"/>
    <w:rsid w:val="00A973C0"/>
    <w:rsid w:val="00A977C0"/>
    <w:rsid w:val="00AA1132"/>
    <w:rsid w:val="00AA226E"/>
    <w:rsid w:val="00AA22C9"/>
    <w:rsid w:val="00AA270E"/>
    <w:rsid w:val="00AA3A2F"/>
    <w:rsid w:val="00AA3C41"/>
    <w:rsid w:val="00AA3C80"/>
    <w:rsid w:val="00AA40CC"/>
    <w:rsid w:val="00AA5071"/>
    <w:rsid w:val="00AA5B9C"/>
    <w:rsid w:val="00AA6065"/>
    <w:rsid w:val="00AA6502"/>
    <w:rsid w:val="00AA7920"/>
    <w:rsid w:val="00AA7C89"/>
    <w:rsid w:val="00AA7E76"/>
    <w:rsid w:val="00AB0011"/>
    <w:rsid w:val="00AB07C4"/>
    <w:rsid w:val="00AB0EF7"/>
    <w:rsid w:val="00AB12BD"/>
    <w:rsid w:val="00AB2246"/>
    <w:rsid w:val="00AB2AEA"/>
    <w:rsid w:val="00AB3ABA"/>
    <w:rsid w:val="00AB44D8"/>
    <w:rsid w:val="00AB497D"/>
    <w:rsid w:val="00AB6179"/>
    <w:rsid w:val="00AB6BE2"/>
    <w:rsid w:val="00AB7C22"/>
    <w:rsid w:val="00AC1F42"/>
    <w:rsid w:val="00AC276A"/>
    <w:rsid w:val="00AC33A8"/>
    <w:rsid w:val="00AC3409"/>
    <w:rsid w:val="00AC405B"/>
    <w:rsid w:val="00AC46E0"/>
    <w:rsid w:val="00AC544C"/>
    <w:rsid w:val="00AC5769"/>
    <w:rsid w:val="00AC5947"/>
    <w:rsid w:val="00AC6FDF"/>
    <w:rsid w:val="00AC72ED"/>
    <w:rsid w:val="00AC7966"/>
    <w:rsid w:val="00AD0C7D"/>
    <w:rsid w:val="00AD16F5"/>
    <w:rsid w:val="00AD17EB"/>
    <w:rsid w:val="00AD17F6"/>
    <w:rsid w:val="00AD1B97"/>
    <w:rsid w:val="00AD1D4B"/>
    <w:rsid w:val="00AD25B0"/>
    <w:rsid w:val="00AD2B0D"/>
    <w:rsid w:val="00AD47F2"/>
    <w:rsid w:val="00AD48D4"/>
    <w:rsid w:val="00AD5045"/>
    <w:rsid w:val="00AD52D7"/>
    <w:rsid w:val="00AD539D"/>
    <w:rsid w:val="00AD62A2"/>
    <w:rsid w:val="00AD651A"/>
    <w:rsid w:val="00AD6A08"/>
    <w:rsid w:val="00AD748E"/>
    <w:rsid w:val="00AE036F"/>
    <w:rsid w:val="00AE1C83"/>
    <w:rsid w:val="00AE2E1B"/>
    <w:rsid w:val="00AE3B7B"/>
    <w:rsid w:val="00AE773A"/>
    <w:rsid w:val="00AE7FB3"/>
    <w:rsid w:val="00AF0CA0"/>
    <w:rsid w:val="00AF0F65"/>
    <w:rsid w:val="00AF13B1"/>
    <w:rsid w:val="00AF232F"/>
    <w:rsid w:val="00AF2847"/>
    <w:rsid w:val="00AF2E2E"/>
    <w:rsid w:val="00AF3D55"/>
    <w:rsid w:val="00AF4557"/>
    <w:rsid w:val="00AF5A1E"/>
    <w:rsid w:val="00B0057E"/>
    <w:rsid w:val="00B01406"/>
    <w:rsid w:val="00B01F8C"/>
    <w:rsid w:val="00B0293E"/>
    <w:rsid w:val="00B02CBD"/>
    <w:rsid w:val="00B0329B"/>
    <w:rsid w:val="00B047F1"/>
    <w:rsid w:val="00B048DA"/>
    <w:rsid w:val="00B04A85"/>
    <w:rsid w:val="00B04DEC"/>
    <w:rsid w:val="00B057B2"/>
    <w:rsid w:val="00B06D65"/>
    <w:rsid w:val="00B074F1"/>
    <w:rsid w:val="00B07BF4"/>
    <w:rsid w:val="00B07F6B"/>
    <w:rsid w:val="00B10997"/>
    <w:rsid w:val="00B11125"/>
    <w:rsid w:val="00B11369"/>
    <w:rsid w:val="00B11CFB"/>
    <w:rsid w:val="00B12FF2"/>
    <w:rsid w:val="00B133B0"/>
    <w:rsid w:val="00B13F2A"/>
    <w:rsid w:val="00B151E2"/>
    <w:rsid w:val="00B15AA4"/>
    <w:rsid w:val="00B163B6"/>
    <w:rsid w:val="00B17BE5"/>
    <w:rsid w:val="00B2058F"/>
    <w:rsid w:val="00B2083E"/>
    <w:rsid w:val="00B21571"/>
    <w:rsid w:val="00B2186E"/>
    <w:rsid w:val="00B220DE"/>
    <w:rsid w:val="00B226C4"/>
    <w:rsid w:val="00B237A6"/>
    <w:rsid w:val="00B2421D"/>
    <w:rsid w:val="00B24468"/>
    <w:rsid w:val="00B26BAE"/>
    <w:rsid w:val="00B275EE"/>
    <w:rsid w:val="00B277F3"/>
    <w:rsid w:val="00B27B1F"/>
    <w:rsid w:val="00B30E07"/>
    <w:rsid w:val="00B32CCD"/>
    <w:rsid w:val="00B34138"/>
    <w:rsid w:val="00B34A98"/>
    <w:rsid w:val="00B34F72"/>
    <w:rsid w:val="00B35C80"/>
    <w:rsid w:val="00B40B56"/>
    <w:rsid w:val="00B41494"/>
    <w:rsid w:val="00B415AB"/>
    <w:rsid w:val="00B41A1C"/>
    <w:rsid w:val="00B42501"/>
    <w:rsid w:val="00B43D46"/>
    <w:rsid w:val="00B43D4D"/>
    <w:rsid w:val="00B4429D"/>
    <w:rsid w:val="00B44DB0"/>
    <w:rsid w:val="00B463D7"/>
    <w:rsid w:val="00B4774B"/>
    <w:rsid w:val="00B4785C"/>
    <w:rsid w:val="00B501CD"/>
    <w:rsid w:val="00B513FE"/>
    <w:rsid w:val="00B52791"/>
    <w:rsid w:val="00B52F07"/>
    <w:rsid w:val="00B53485"/>
    <w:rsid w:val="00B5463D"/>
    <w:rsid w:val="00B54D99"/>
    <w:rsid w:val="00B554A1"/>
    <w:rsid w:val="00B55523"/>
    <w:rsid w:val="00B56107"/>
    <w:rsid w:val="00B564DA"/>
    <w:rsid w:val="00B565FD"/>
    <w:rsid w:val="00B574A0"/>
    <w:rsid w:val="00B57778"/>
    <w:rsid w:val="00B602F2"/>
    <w:rsid w:val="00B6051D"/>
    <w:rsid w:val="00B609BB"/>
    <w:rsid w:val="00B6263D"/>
    <w:rsid w:val="00B62FAB"/>
    <w:rsid w:val="00B63D73"/>
    <w:rsid w:val="00B64134"/>
    <w:rsid w:val="00B6442A"/>
    <w:rsid w:val="00B65FA6"/>
    <w:rsid w:val="00B66E21"/>
    <w:rsid w:val="00B67900"/>
    <w:rsid w:val="00B6793D"/>
    <w:rsid w:val="00B70AA6"/>
    <w:rsid w:val="00B70DDC"/>
    <w:rsid w:val="00B71B60"/>
    <w:rsid w:val="00B7311F"/>
    <w:rsid w:val="00B73272"/>
    <w:rsid w:val="00B73962"/>
    <w:rsid w:val="00B74298"/>
    <w:rsid w:val="00B743F3"/>
    <w:rsid w:val="00B74E3B"/>
    <w:rsid w:val="00B75D76"/>
    <w:rsid w:val="00B77575"/>
    <w:rsid w:val="00B82368"/>
    <w:rsid w:val="00B82E83"/>
    <w:rsid w:val="00B83719"/>
    <w:rsid w:val="00B83799"/>
    <w:rsid w:val="00B83973"/>
    <w:rsid w:val="00B848CC"/>
    <w:rsid w:val="00B84936"/>
    <w:rsid w:val="00B85898"/>
    <w:rsid w:val="00B85F3B"/>
    <w:rsid w:val="00B87211"/>
    <w:rsid w:val="00B872D0"/>
    <w:rsid w:val="00B87318"/>
    <w:rsid w:val="00B8736D"/>
    <w:rsid w:val="00B8750D"/>
    <w:rsid w:val="00B87E6D"/>
    <w:rsid w:val="00B90F68"/>
    <w:rsid w:val="00B91678"/>
    <w:rsid w:val="00B9177C"/>
    <w:rsid w:val="00B9194E"/>
    <w:rsid w:val="00B91F3F"/>
    <w:rsid w:val="00B93563"/>
    <w:rsid w:val="00B97055"/>
    <w:rsid w:val="00B97FF1"/>
    <w:rsid w:val="00BA3BC2"/>
    <w:rsid w:val="00BA4DD7"/>
    <w:rsid w:val="00BA60FA"/>
    <w:rsid w:val="00BA69F0"/>
    <w:rsid w:val="00BA6EB9"/>
    <w:rsid w:val="00BA7D9C"/>
    <w:rsid w:val="00BA7F2F"/>
    <w:rsid w:val="00BB09FE"/>
    <w:rsid w:val="00BB112D"/>
    <w:rsid w:val="00BB2901"/>
    <w:rsid w:val="00BB2E6A"/>
    <w:rsid w:val="00BB6EC2"/>
    <w:rsid w:val="00BB7A11"/>
    <w:rsid w:val="00BC08E2"/>
    <w:rsid w:val="00BC13CF"/>
    <w:rsid w:val="00BC17BB"/>
    <w:rsid w:val="00BC25DC"/>
    <w:rsid w:val="00BC359B"/>
    <w:rsid w:val="00BC3BFE"/>
    <w:rsid w:val="00BC503C"/>
    <w:rsid w:val="00BC5AF5"/>
    <w:rsid w:val="00BC7267"/>
    <w:rsid w:val="00BD104B"/>
    <w:rsid w:val="00BD10CC"/>
    <w:rsid w:val="00BD205D"/>
    <w:rsid w:val="00BD23EB"/>
    <w:rsid w:val="00BD29A7"/>
    <w:rsid w:val="00BD30FD"/>
    <w:rsid w:val="00BD32DB"/>
    <w:rsid w:val="00BD3991"/>
    <w:rsid w:val="00BD4A59"/>
    <w:rsid w:val="00BD4ACE"/>
    <w:rsid w:val="00BD514D"/>
    <w:rsid w:val="00BD5178"/>
    <w:rsid w:val="00BD7F4B"/>
    <w:rsid w:val="00BE05DA"/>
    <w:rsid w:val="00BE0F24"/>
    <w:rsid w:val="00BE1ADC"/>
    <w:rsid w:val="00BE2D00"/>
    <w:rsid w:val="00BE38CA"/>
    <w:rsid w:val="00BE3ED3"/>
    <w:rsid w:val="00BE50D5"/>
    <w:rsid w:val="00BE5F3E"/>
    <w:rsid w:val="00BE63E4"/>
    <w:rsid w:val="00BF00A2"/>
    <w:rsid w:val="00BF1106"/>
    <w:rsid w:val="00BF1C7B"/>
    <w:rsid w:val="00BF28D5"/>
    <w:rsid w:val="00BF297C"/>
    <w:rsid w:val="00BF4877"/>
    <w:rsid w:val="00BF518B"/>
    <w:rsid w:val="00BF6628"/>
    <w:rsid w:val="00BF6D90"/>
    <w:rsid w:val="00BF6E29"/>
    <w:rsid w:val="00BF733D"/>
    <w:rsid w:val="00C01982"/>
    <w:rsid w:val="00C01991"/>
    <w:rsid w:val="00C03D5D"/>
    <w:rsid w:val="00C04066"/>
    <w:rsid w:val="00C06AC4"/>
    <w:rsid w:val="00C06FF7"/>
    <w:rsid w:val="00C1042D"/>
    <w:rsid w:val="00C1076E"/>
    <w:rsid w:val="00C111CD"/>
    <w:rsid w:val="00C1246E"/>
    <w:rsid w:val="00C12B15"/>
    <w:rsid w:val="00C12ED7"/>
    <w:rsid w:val="00C13FE9"/>
    <w:rsid w:val="00C164F8"/>
    <w:rsid w:val="00C17CFB"/>
    <w:rsid w:val="00C2117D"/>
    <w:rsid w:val="00C22AA7"/>
    <w:rsid w:val="00C22CB2"/>
    <w:rsid w:val="00C239CD"/>
    <w:rsid w:val="00C24D73"/>
    <w:rsid w:val="00C25DA0"/>
    <w:rsid w:val="00C27C51"/>
    <w:rsid w:val="00C305B4"/>
    <w:rsid w:val="00C329F3"/>
    <w:rsid w:val="00C32E99"/>
    <w:rsid w:val="00C331C8"/>
    <w:rsid w:val="00C34941"/>
    <w:rsid w:val="00C34AED"/>
    <w:rsid w:val="00C35E96"/>
    <w:rsid w:val="00C36838"/>
    <w:rsid w:val="00C368B3"/>
    <w:rsid w:val="00C379D5"/>
    <w:rsid w:val="00C4015E"/>
    <w:rsid w:val="00C41AA9"/>
    <w:rsid w:val="00C42C1B"/>
    <w:rsid w:val="00C43520"/>
    <w:rsid w:val="00C505E5"/>
    <w:rsid w:val="00C511CA"/>
    <w:rsid w:val="00C52C5E"/>
    <w:rsid w:val="00C534A5"/>
    <w:rsid w:val="00C544C5"/>
    <w:rsid w:val="00C561B7"/>
    <w:rsid w:val="00C5679C"/>
    <w:rsid w:val="00C57009"/>
    <w:rsid w:val="00C5731E"/>
    <w:rsid w:val="00C57A99"/>
    <w:rsid w:val="00C57C1E"/>
    <w:rsid w:val="00C60221"/>
    <w:rsid w:val="00C60518"/>
    <w:rsid w:val="00C60A94"/>
    <w:rsid w:val="00C60B28"/>
    <w:rsid w:val="00C60B94"/>
    <w:rsid w:val="00C62040"/>
    <w:rsid w:val="00C63C19"/>
    <w:rsid w:val="00C641D7"/>
    <w:rsid w:val="00C64A5B"/>
    <w:rsid w:val="00C66AAE"/>
    <w:rsid w:val="00C71683"/>
    <w:rsid w:val="00C718CA"/>
    <w:rsid w:val="00C732C0"/>
    <w:rsid w:val="00C73685"/>
    <w:rsid w:val="00C73985"/>
    <w:rsid w:val="00C73B0F"/>
    <w:rsid w:val="00C741D9"/>
    <w:rsid w:val="00C74B70"/>
    <w:rsid w:val="00C755E6"/>
    <w:rsid w:val="00C76AC2"/>
    <w:rsid w:val="00C77591"/>
    <w:rsid w:val="00C807C6"/>
    <w:rsid w:val="00C81387"/>
    <w:rsid w:val="00C81592"/>
    <w:rsid w:val="00C815A4"/>
    <w:rsid w:val="00C82218"/>
    <w:rsid w:val="00C82A79"/>
    <w:rsid w:val="00C84F9D"/>
    <w:rsid w:val="00C86438"/>
    <w:rsid w:val="00C865F7"/>
    <w:rsid w:val="00C866B4"/>
    <w:rsid w:val="00C86D3F"/>
    <w:rsid w:val="00C86F7A"/>
    <w:rsid w:val="00C87622"/>
    <w:rsid w:val="00C8778E"/>
    <w:rsid w:val="00C87B4D"/>
    <w:rsid w:val="00C87E4D"/>
    <w:rsid w:val="00C87ECF"/>
    <w:rsid w:val="00C91D29"/>
    <w:rsid w:val="00C92B11"/>
    <w:rsid w:val="00C92B8B"/>
    <w:rsid w:val="00C948B4"/>
    <w:rsid w:val="00C94BED"/>
    <w:rsid w:val="00C94F64"/>
    <w:rsid w:val="00C957B1"/>
    <w:rsid w:val="00C96260"/>
    <w:rsid w:val="00C96882"/>
    <w:rsid w:val="00C96DD7"/>
    <w:rsid w:val="00C97D9E"/>
    <w:rsid w:val="00CA0024"/>
    <w:rsid w:val="00CA006A"/>
    <w:rsid w:val="00CA1181"/>
    <w:rsid w:val="00CA1440"/>
    <w:rsid w:val="00CA1AEE"/>
    <w:rsid w:val="00CA3932"/>
    <w:rsid w:val="00CA40DB"/>
    <w:rsid w:val="00CA5A6D"/>
    <w:rsid w:val="00CA61B9"/>
    <w:rsid w:val="00CA67F6"/>
    <w:rsid w:val="00CB001A"/>
    <w:rsid w:val="00CB0570"/>
    <w:rsid w:val="00CB0AB5"/>
    <w:rsid w:val="00CB1340"/>
    <w:rsid w:val="00CB1656"/>
    <w:rsid w:val="00CB1760"/>
    <w:rsid w:val="00CB330C"/>
    <w:rsid w:val="00CB435D"/>
    <w:rsid w:val="00CB6D45"/>
    <w:rsid w:val="00CB7660"/>
    <w:rsid w:val="00CB77DE"/>
    <w:rsid w:val="00CC0FB6"/>
    <w:rsid w:val="00CC4414"/>
    <w:rsid w:val="00CC453E"/>
    <w:rsid w:val="00CC625C"/>
    <w:rsid w:val="00CC655C"/>
    <w:rsid w:val="00CC69C8"/>
    <w:rsid w:val="00CC7DBF"/>
    <w:rsid w:val="00CD2215"/>
    <w:rsid w:val="00CD3830"/>
    <w:rsid w:val="00CD3E58"/>
    <w:rsid w:val="00CD4FFE"/>
    <w:rsid w:val="00CD5DC2"/>
    <w:rsid w:val="00CD5DF6"/>
    <w:rsid w:val="00CD7267"/>
    <w:rsid w:val="00CE0609"/>
    <w:rsid w:val="00CE0B57"/>
    <w:rsid w:val="00CE0C9A"/>
    <w:rsid w:val="00CE1AF7"/>
    <w:rsid w:val="00CE3468"/>
    <w:rsid w:val="00CE3AB5"/>
    <w:rsid w:val="00CE4CA6"/>
    <w:rsid w:val="00CE5FDE"/>
    <w:rsid w:val="00CE6334"/>
    <w:rsid w:val="00CE6F65"/>
    <w:rsid w:val="00CE70E5"/>
    <w:rsid w:val="00CE7F8E"/>
    <w:rsid w:val="00CF0781"/>
    <w:rsid w:val="00CF0BD7"/>
    <w:rsid w:val="00CF17AF"/>
    <w:rsid w:val="00CF40EF"/>
    <w:rsid w:val="00CF4470"/>
    <w:rsid w:val="00CF56D9"/>
    <w:rsid w:val="00CF5A99"/>
    <w:rsid w:val="00CF5B5C"/>
    <w:rsid w:val="00CF62FC"/>
    <w:rsid w:val="00CF63E2"/>
    <w:rsid w:val="00CF6E2D"/>
    <w:rsid w:val="00D006B9"/>
    <w:rsid w:val="00D008A7"/>
    <w:rsid w:val="00D00A6D"/>
    <w:rsid w:val="00D00B40"/>
    <w:rsid w:val="00D02D54"/>
    <w:rsid w:val="00D02F77"/>
    <w:rsid w:val="00D0387B"/>
    <w:rsid w:val="00D03FDB"/>
    <w:rsid w:val="00D041E3"/>
    <w:rsid w:val="00D048A1"/>
    <w:rsid w:val="00D04B9A"/>
    <w:rsid w:val="00D04D16"/>
    <w:rsid w:val="00D05BD9"/>
    <w:rsid w:val="00D0676C"/>
    <w:rsid w:val="00D07C4B"/>
    <w:rsid w:val="00D10F00"/>
    <w:rsid w:val="00D10FDD"/>
    <w:rsid w:val="00D1188A"/>
    <w:rsid w:val="00D12352"/>
    <w:rsid w:val="00D13807"/>
    <w:rsid w:val="00D13CC3"/>
    <w:rsid w:val="00D14893"/>
    <w:rsid w:val="00D149A5"/>
    <w:rsid w:val="00D14FE5"/>
    <w:rsid w:val="00D1623E"/>
    <w:rsid w:val="00D1680D"/>
    <w:rsid w:val="00D176AF"/>
    <w:rsid w:val="00D20B32"/>
    <w:rsid w:val="00D20E69"/>
    <w:rsid w:val="00D211AE"/>
    <w:rsid w:val="00D2309D"/>
    <w:rsid w:val="00D24EFF"/>
    <w:rsid w:val="00D2538D"/>
    <w:rsid w:val="00D26884"/>
    <w:rsid w:val="00D273BC"/>
    <w:rsid w:val="00D30B99"/>
    <w:rsid w:val="00D31072"/>
    <w:rsid w:val="00D3258D"/>
    <w:rsid w:val="00D33EF5"/>
    <w:rsid w:val="00D34BC1"/>
    <w:rsid w:val="00D34EEF"/>
    <w:rsid w:val="00D353B2"/>
    <w:rsid w:val="00D35729"/>
    <w:rsid w:val="00D35C68"/>
    <w:rsid w:val="00D36143"/>
    <w:rsid w:val="00D3694C"/>
    <w:rsid w:val="00D4021E"/>
    <w:rsid w:val="00D416F2"/>
    <w:rsid w:val="00D420BA"/>
    <w:rsid w:val="00D42798"/>
    <w:rsid w:val="00D42A09"/>
    <w:rsid w:val="00D42C20"/>
    <w:rsid w:val="00D44E79"/>
    <w:rsid w:val="00D44F19"/>
    <w:rsid w:val="00D4591E"/>
    <w:rsid w:val="00D477AC"/>
    <w:rsid w:val="00D51088"/>
    <w:rsid w:val="00D51A48"/>
    <w:rsid w:val="00D5205B"/>
    <w:rsid w:val="00D52B54"/>
    <w:rsid w:val="00D52DC5"/>
    <w:rsid w:val="00D52F50"/>
    <w:rsid w:val="00D52F6F"/>
    <w:rsid w:val="00D54E15"/>
    <w:rsid w:val="00D556B9"/>
    <w:rsid w:val="00D56BFD"/>
    <w:rsid w:val="00D5752C"/>
    <w:rsid w:val="00D6105F"/>
    <w:rsid w:val="00D6196D"/>
    <w:rsid w:val="00D61B30"/>
    <w:rsid w:val="00D62BC0"/>
    <w:rsid w:val="00D63208"/>
    <w:rsid w:val="00D63BCE"/>
    <w:rsid w:val="00D644FD"/>
    <w:rsid w:val="00D646C5"/>
    <w:rsid w:val="00D64717"/>
    <w:rsid w:val="00D662A9"/>
    <w:rsid w:val="00D67433"/>
    <w:rsid w:val="00D6767A"/>
    <w:rsid w:val="00D676D9"/>
    <w:rsid w:val="00D67D72"/>
    <w:rsid w:val="00D7009B"/>
    <w:rsid w:val="00D705FF"/>
    <w:rsid w:val="00D71721"/>
    <w:rsid w:val="00D71E9E"/>
    <w:rsid w:val="00D72096"/>
    <w:rsid w:val="00D72221"/>
    <w:rsid w:val="00D72EA6"/>
    <w:rsid w:val="00D73B3F"/>
    <w:rsid w:val="00D75464"/>
    <w:rsid w:val="00D76E15"/>
    <w:rsid w:val="00D76E27"/>
    <w:rsid w:val="00D76ED9"/>
    <w:rsid w:val="00D77F86"/>
    <w:rsid w:val="00D80285"/>
    <w:rsid w:val="00D80D76"/>
    <w:rsid w:val="00D810E0"/>
    <w:rsid w:val="00D834C2"/>
    <w:rsid w:val="00D85391"/>
    <w:rsid w:val="00D865FF"/>
    <w:rsid w:val="00D867F1"/>
    <w:rsid w:val="00D86C2B"/>
    <w:rsid w:val="00D871D0"/>
    <w:rsid w:val="00D87567"/>
    <w:rsid w:val="00D902F0"/>
    <w:rsid w:val="00D9153B"/>
    <w:rsid w:val="00D936DA"/>
    <w:rsid w:val="00D94652"/>
    <w:rsid w:val="00D94C22"/>
    <w:rsid w:val="00D94E85"/>
    <w:rsid w:val="00D94F5B"/>
    <w:rsid w:val="00D95FB5"/>
    <w:rsid w:val="00D96643"/>
    <w:rsid w:val="00D96E6F"/>
    <w:rsid w:val="00DA03B7"/>
    <w:rsid w:val="00DA05B3"/>
    <w:rsid w:val="00DA1AE6"/>
    <w:rsid w:val="00DA1DA2"/>
    <w:rsid w:val="00DA219C"/>
    <w:rsid w:val="00DA383D"/>
    <w:rsid w:val="00DA4CE3"/>
    <w:rsid w:val="00DA56C0"/>
    <w:rsid w:val="00DA593B"/>
    <w:rsid w:val="00DA61CE"/>
    <w:rsid w:val="00DA67D0"/>
    <w:rsid w:val="00DA694A"/>
    <w:rsid w:val="00DA6B44"/>
    <w:rsid w:val="00DA7E0A"/>
    <w:rsid w:val="00DB18E6"/>
    <w:rsid w:val="00DB27F3"/>
    <w:rsid w:val="00DB28C0"/>
    <w:rsid w:val="00DB4506"/>
    <w:rsid w:val="00DB4AB9"/>
    <w:rsid w:val="00DB4E7C"/>
    <w:rsid w:val="00DB4F2A"/>
    <w:rsid w:val="00DB5907"/>
    <w:rsid w:val="00DB645F"/>
    <w:rsid w:val="00DB649D"/>
    <w:rsid w:val="00DB7072"/>
    <w:rsid w:val="00DB7715"/>
    <w:rsid w:val="00DC16DD"/>
    <w:rsid w:val="00DC3CDC"/>
    <w:rsid w:val="00DC57E6"/>
    <w:rsid w:val="00DC5885"/>
    <w:rsid w:val="00DC6ED0"/>
    <w:rsid w:val="00DC74AB"/>
    <w:rsid w:val="00DC7FA1"/>
    <w:rsid w:val="00DD112E"/>
    <w:rsid w:val="00DD11A6"/>
    <w:rsid w:val="00DD159A"/>
    <w:rsid w:val="00DD2575"/>
    <w:rsid w:val="00DD27CB"/>
    <w:rsid w:val="00DD32C9"/>
    <w:rsid w:val="00DD3C5B"/>
    <w:rsid w:val="00DD41D2"/>
    <w:rsid w:val="00DD4AE7"/>
    <w:rsid w:val="00DD4DD0"/>
    <w:rsid w:val="00DD5382"/>
    <w:rsid w:val="00DD6762"/>
    <w:rsid w:val="00DD78B8"/>
    <w:rsid w:val="00DE0625"/>
    <w:rsid w:val="00DE07F8"/>
    <w:rsid w:val="00DE0A2B"/>
    <w:rsid w:val="00DE0B25"/>
    <w:rsid w:val="00DE0B73"/>
    <w:rsid w:val="00DE16BF"/>
    <w:rsid w:val="00DE1A68"/>
    <w:rsid w:val="00DE1AB5"/>
    <w:rsid w:val="00DE27B7"/>
    <w:rsid w:val="00DE2A6C"/>
    <w:rsid w:val="00DE390D"/>
    <w:rsid w:val="00DE3DA9"/>
    <w:rsid w:val="00DE5F04"/>
    <w:rsid w:val="00DE682D"/>
    <w:rsid w:val="00DF08A0"/>
    <w:rsid w:val="00DF1333"/>
    <w:rsid w:val="00DF1750"/>
    <w:rsid w:val="00DF20ED"/>
    <w:rsid w:val="00DF22CF"/>
    <w:rsid w:val="00DF2746"/>
    <w:rsid w:val="00DF3025"/>
    <w:rsid w:val="00DF3096"/>
    <w:rsid w:val="00DF3107"/>
    <w:rsid w:val="00DF548D"/>
    <w:rsid w:val="00DF5581"/>
    <w:rsid w:val="00DF5A36"/>
    <w:rsid w:val="00DF5F8E"/>
    <w:rsid w:val="00DF6FBE"/>
    <w:rsid w:val="00E0013E"/>
    <w:rsid w:val="00E00CDB"/>
    <w:rsid w:val="00E0220F"/>
    <w:rsid w:val="00E0488C"/>
    <w:rsid w:val="00E0573F"/>
    <w:rsid w:val="00E05AA3"/>
    <w:rsid w:val="00E05C80"/>
    <w:rsid w:val="00E06643"/>
    <w:rsid w:val="00E06EB5"/>
    <w:rsid w:val="00E07917"/>
    <w:rsid w:val="00E07978"/>
    <w:rsid w:val="00E07C92"/>
    <w:rsid w:val="00E10D3C"/>
    <w:rsid w:val="00E13590"/>
    <w:rsid w:val="00E13F06"/>
    <w:rsid w:val="00E14D2E"/>
    <w:rsid w:val="00E1562B"/>
    <w:rsid w:val="00E15684"/>
    <w:rsid w:val="00E168ED"/>
    <w:rsid w:val="00E16DB6"/>
    <w:rsid w:val="00E20FB3"/>
    <w:rsid w:val="00E2156C"/>
    <w:rsid w:val="00E22F95"/>
    <w:rsid w:val="00E23104"/>
    <w:rsid w:val="00E23628"/>
    <w:rsid w:val="00E23C12"/>
    <w:rsid w:val="00E24104"/>
    <w:rsid w:val="00E25610"/>
    <w:rsid w:val="00E273F3"/>
    <w:rsid w:val="00E3110D"/>
    <w:rsid w:val="00E31111"/>
    <w:rsid w:val="00E3120C"/>
    <w:rsid w:val="00E322E6"/>
    <w:rsid w:val="00E33086"/>
    <w:rsid w:val="00E3332E"/>
    <w:rsid w:val="00E33494"/>
    <w:rsid w:val="00E33FF0"/>
    <w:rsid w:val="00E3442D"/>
    <w:rsid w:val="00E355EE"/>
    <w:rsid w:val="00E358BC"/>
    <w:rsid w:val="00E35A30"/>
    <w:rsid w:val="00E3602C"/>
    <w:rsid w:val="00E36E9B"/>
    <w:rsid w:val="00E3724F"/>
    <w:rsid w:val="00E42081"/>
    <w:rsid w:val="00E422B9"/>
    <w:rsid w:val="00E4273F"/>
    <w:rsid w:val="00E42C08"/>
    <w:rsid w:val="00E445AA"/>
    <w:rsid w:val="00E45CAC"/>
    <w:rsid w:val="00E45D6C"/>
    <w:rsid w:val="00E4698B"/>
    <w:rsid w:val="00E46D26"/>
    <w:rsid w:val="00E47884"/>
    <w:rsid w:val="00E50337"/>
    <w:rsid w:val="00E50B5D"/>
    <w:rsid w:val="00E510E5"/>
    <w:rsid w:val="00E513D2"/>
    <w:rsid w:val="00E519EF"/>
    <w:rsid w:val="00E51BAF"/>
    <w:rsid w:val="00E52DCE"/>
    <w:rsid w:val="00E52F28"/>
    <w:rsid w:val="00E531F9"/>
    <w:rsid w:val="00E56798"/>
    <w:rsid w:val="00E573DA"/>
    <w:rsid w:val="00E577F9"/>
    <w:rsid w:val="00E61786"/>
    <w:rsid w:val="00E64F29"/>
    <w:rsid w:val="00E653BE"/>
    <w:rsid w:val="00E65AB7"/>
    <w:rsid w:val="00E661F4"/>
    <w:rsid w:val="00E66CD3"/>
    <w:rsid w:val="00E66FAC"/>
    <w:rsid w:val="00E67D1D"/>
    <w:rsid w:val="00E700FB"/>
    <w:rsid w:val="00E70977"/>
    <w:rsid w:val="00E73AAB"/>
    <w:rsid w:val="00E73E6A"/>
    <w:rsid w:val="00E74AD9"/>
    <w:rsid w:val="00E75217"/>
    <w:rsid w:val="00E75C01"/>
    <w:rsid w:val="00E75CD0"/>
    <w:rsid w:val="00E75E57"/>
    <w:rsid w:val="00E767C8"/>
    <w:rsid w:val="00E767FC"/>
    <w:rsid w:val="00E771FF"/>
    <w:rsid w:val="00E77C02"/>
    <w:rsid w:val="00E825C0"/>
    <w:rsid w:val="00E82AE2"/>
    <w:rsid w:val="00E848EB"/>
    <w:rsid w:val="00E85540"/>
    <w:rsid w:val="00E860C4"/>
    <w:rsid w:val="00E862F3"/>
    <w:rsid w:val="00E868CE"/>
    <w:rsid w:val="00E909FE"/>
    <w:rsid w:val="00E91893"/>
    <w:rsid w:val="00E91C19"/>
    <w:rsid w:val="00E91DEF"/>
    <w:rsid w:val="00E93277"/>
    <w:rsid w:val="00E9342D"/>
    <w:rsid w:val="00E9585B"/>
    <w:rsid w:val="00E969C5"/>
    <w:rsid w:val="00E97D1F"/>
    <w:rsid w:val="00E97F60"/>
    <w:rsid w:val="00E97F85"/>
    <w:rsid w:val="00EA0654"/>
    <w:rsid w:val="00EA180F"/>
    <w:rsid w:val="00EA1F51"/>
    <w:rsid w:val="00EA2145"/>
    <w:rsid w:val="00EA2BFB"/>
    <w:rsid w:val="00EA373C"/>
    <w:rsid w:val="00EA3F50"/>
    <w:rsid w:val="00EA52F0"/>
    <w:rsid w:val="00EA6089"/>
    <w:rsid w:val="00EA649B"/>
    <w:rsid w:val="00EB01E2"/>
    <w:rsid w:val="00EB0EC8"/>
    <w:rsid w:val="00EB1C38"/>
    <w:rsid w:val="00EB2F38"/>
    <w:rsid w:val="00EB3B50"/>
    <w:rsid w:val="00EB4484"/>
    <w:rsid w:val="00EB4B62"/>
    <w:rsid w:val="00EB7382"/>
    <w:rsid w:val="00EB77E3"/>
    <w:rsid w:val="00EB7EB3"/>
    <w:rsid w:val="00EC1451"/>
    <w:rsid w:val="00EC1553"/>
    <w:rsid w:val="00EC2F26"/>
    <w:rsid w:val="00EC3F9D"/>
    <w:rsid w:val="00EC44C9"/>
    <w:rsid w:val="00EC4C0E"/>
    <w:rsid w:val="00EC5520"/>
    <w:rsid w:val="00EC57ED"/>
    <w:rsid w:val="00EC62FA"/>
    <w:rsid w:val="00EC6663"/>
    <w:rsid w:val="00EC6C1C"/>
    <w:rsid w:val="00EC77E9"/>
    <w:rsid w:val="00EC77EE"/>
    <w:rsid w:val="00ED0E00"/>
    <w:rsid w:val="00ED1147"/>
    <w:rsid w:val="00ED25BE"/>
    <w:rsid w:val="00ED326A"/>
    <w:rsid w:val="00ED4615"/>
    <w:rsid w:val="00ED50EF"/>
    <w:rsid w:val="00ED54AD"/>
    <w:rsid w:val="00ED58A3"/>
    <w:rsid w:val="00ED7A43"/>
    <w:rsid w:val="00EE02A6"/>
    <w:rsid w:val="00EE02EC"/>
    <w:rsid w:val="00EE1712"/>
    <w:rsid w:val="00EE2D6C"/>
    <w:rsid w:val="00EE30C2"/>
    <w:rsid w:val="00EE3775"/>
    <w:rsid w:val="00EE3C32"/>
    <w:rsid w:val="00EE4F18"/>
    <w:rsid w:val="00EE5E31"/>
    <w:rsid w:val="00EE7603"/>
    <w:rsid w:val="00EE7D88"/>
    <w:rsid w:val="00EE7DCB"/>
    <w:rsid w:val="00EE7EB6"/>
    <w:rsid w:val="00EF239F"/>
    <w:rsid w:val="00EF2D68"/>
    <w:rsid w:val="00EF2E11"/>
    <w:rsid w:val="00EF3732"/>
    <w:rsid w:val="00EF6B39"/>
    <w:rsid w:val="00EF7AF3"/>
    <w:rsid w:val="00F00008"/>
    <w:rsid w:val="00F01B81"/>
    <w:rsid w:val="00F01F14"/>
    <w:rsid w:val="00F03183"/>
    <w:rsid w:val="00F033D3"/>
    <w:rsid w:val="00F03BF0"/>
    <w:rsid w:val="00F06138"/>
    <w:rsid w:val="00F06B83"/>
    <w:rsid w:val="00F072FB"/>
    <w:rsid w:val="00F119A9"/>
    <w:rsid w:val="00F11D1B"/>
    <w:rsid w:val="00F12740"/>
    <w:rsid w:val="00F128A7"/>
    <w:rsid w:val="00F12ED5"/>
    <w:rsid w:val="00F14213"/>
    <w:rsid w:val="00F1775C"/>
    <w:rsid w:val="00F177CA"/>
    <w:rsid w:val="00F17D2C"/>
    <w:rsid w:val="00F17DFE"/>
    <w:rsid w:val="00F207AC"/>
    <w:rsid w:val="00F214BB"/>
    <w:rsid w:val="00F2249E"/>
    <w:rsid w:val="00F22508"/>
    <w:rsid w:val="00F23386"/>
    <w:rsid w:val="00F23546"/>
    <w:rsid w:val="00F23629"/>
    <w:rsid w:val="00F2398C"/>
    <w:rsid w:val="00F24714"/>
    <w:rsid w:val="00F24ECA"/>
    <w:rsid w:val="00F25BE2"/>
    <w:rsid w:val="00F263A2"/>
    <w:rsid w:val="00F26D79"/>
    <w:rsid w:val="00F27014"/>
    <w:rsid w:val="00F30636"/>
    <w:rsid w:val="00F31CF7"/>
    <w:rsid w:val="00F31DD3"/>
    <w:rsid w:val="00F31F52"/>
    <w:rsid w:val="00F32881"/>
    <w:rsid w:val="00F33C25"/>
    <w:rsid w:val="00F34BF0"/>
    <w:rsid w:val="00F358DA"/>
    <w:rsid w:val="00F35E3C"/>
    <w:rsid w:val="00F36459"/>
    <w:rsid w:val="00F37C45"/>
    <w:rsid w:val="00F403AF"/>
    <w:rsid w:val="00F41D8C"/>
    <w:rsid w:val="00F42E03"/>
    <w:rsid w:val="00F439FD"/>
    <w:rsid w:val="00F44D9A"/>
    <w:rsid w:val="00F453C8"/>
    <w:rsid w:val="00F46D48"/>
    <w:rsid w:val="00F47C10"/>
    <w:rsid w:val="00F519D1"/>
    <w:rsid w:val="00F52293"/>
    <w:rsid w:val="00F52334"/>
    <w:rsid w:val="00F523AE"/>
    <w:rsid w:val="00F525DC"/>
    <w:rsid w:val="00F52A6B"/>
    <w:rsid w:val="00F52E51"/>
    <w:rsid w:val="00F534C1"/>
    <w:rsid w:val="00F53B89"/>
    <w:rsid w:val="00F55A1F"/>
    <w:rsid w:val="00F55A84"/>
    <w:rsid w:val="00F56A9F"/>
    <w:rsid w:val="00F56D68"/>
    <w:rsid w:val="00F572A3"/>
    <w:rsid w:val="00F6106B"/>
    <w:rsid w:val="00F625C4"/>
    <w:rsid w:val="00F649CB"/>
    <w:rsid w:val="00F660F0"/>
    <w:rsid w:val="00F664E4"/>
    <w:rsid w:val="00F66646"/>
    <w:rsid w:val="00F6711A"/>
    <w:rsid w:val="00F67526"/>
    <w:rsid w:val="00F676C9"/>
    <w:rsid w:val="00F71256"/>
    <w:rsid w:val="00F737CE"/>
    <w:rsid w:val="00F74355"/>
    <w:rsid w:val="00F752DC"/>
    <w:rsid w:val="00F76047"/>
    <w:rsid w:val="00F76111"/>
    <w:rsid w:val="00F82F0D"/>
    <w:rsid w:val="00F837AC"/>
    <w:rsid w:val="00F84B90"/>
    <w:rsid w:val="00F86BBE"/>
    <w:rsid w:val="00F86FCF"/>
    <w:rsid w:val="00F87103"/>
    <w:rsid w:val="00F87628"/>
    <w:rsid w:val="00F87F5D"/>
    <w:rsid w:val="00F90E6B"/>
    <w:rsid w:val="00F936E3"/>
    <w:rsid w:val="00F949BE"/>
    <w:rsid w:val="00F9533A"/>
    <w:rsid w:val="00F95DE6"/>
    <w:rsid w:val="00FA0AFF"/>
    <w:rsid w:val="00FA1CEA"/>
    <w:rsid w:val="00FA1F1A"/>
    <w:rsid w:val="00FA3BC8"/>
    <w:rsid w:val="00FA4220"/>
    <w:rsid w:val="00FA696D"/>
    <w:rsid w:val="00FA769A"/>
    <w:rsid w:val="00FB1407"/>
    <w:rsid w:val="00FB1583"/>
    <w:rsid w:val="00FB1BAF"/>
    <w:rsid w:val="00FB230E"/>
    <w:rsid w:val="00FB287D"/>
    <w:rsid w:val="00FB352D"/>
    <w:rsid w:val="00FB3652"/>
    <w:rsid w:val="00FB4C73"/>
    <w:rsid w:val="00FB4F23"/>
    <w:rsid w:val="00FB7190"/>
    <w:rsid w:val="00FC0377"/>
    <w:rsid w:val="00FC07C2"/>
    <w:rsid w:val="00FC27C6"/>
    <w:rsid w:val="00FC2DB6"/>
    <w:rsid w:val="00FC44D9"/>
    <w:rsid w:val="00FC566D"/>
    <w:rsid w:val="00FC5B94"/>
    <w:rsid w:val="00FC5C29"/>
    <w:rsid w:val="00FC6F12"/>
    <w:rsid w:val="00FC7247"/>
    <w:rsid w:val="00FC7B45"/>
    <w:rsid w:val="00FD0451"/>
    <w:rsid w:val="00FD0706"/>
    <w:rsid w:val="00FD09B9"/>
    <w:rsid w:val="00FD2369"/>
    <w:rsid w:val="00FD5113"/>
    <w:rsid w:val="00FD5376"/>
    <w:rsid w:val="00FD5A81"/>
    <w:rsid w:val="00FD5B6E"/>
    <w:rsid w:val="00FD63B2"/>
    <w:rsid w:val="00FD6AB7"/>
    <w:rsid w:val="00FD7DB1"/>
    <w:rsid w:val="00FE0188"/>
    <w:rsid w:val="00FE04F7"/>
    <w:rsid w:val="00FE1B2C"/>
    <w:rsid w:val="00FE2636"/>
    <w:rsid w:val="00FE31DC"/>
    <w:rsid w:val="00FE3764"/>
    <w:rsid w:val="00FE38A0"/>
    <w:rsid w:val="00FE46CB"/>
    <w:rsid w:val="00FE495A"/>
    <w:rsid w:val="00FE4E89"/>
    <w:rsid w:val="00FE5F64"/>
    <w:rsid w:val="00FE6C99"/>
    <w:rsid w:val="00FE743D"/>
    <w:rsid w:val="00FF01E9"/>
    <w:rsid w:val="00FF1C2D"/>
    <w:rsid w:val="00FF2B92"/>
    <w:rsid w:val="00FF4AA6"/>
    <w:rsid w:val="00FF5726"/>
    <w:rsid w:val="00FF604E"/>
    <w:rsid w:val="00FF6AAB"/>
    <w:rsid w:val="00FF6DDE"/>
    <w:rsid w:val="00FF6DE5"/>
    <w:rsid w:val="00FF6E69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1EE52E0"/>
  <w15:chartTrackingRefBased/>
  <w15:docId w15:val="{07F41ADD-2E1C-4FB9-8E99-47663F1A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70D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862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A1F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FA1F1A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70D9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link w:val="a3"/>
    <w:rsid w:val="008B70D9"/>
    <w:rPr>
      <w:rFonts w:ascii="Courier New" w:hAnsi="Courier New"/>
      <w:lang w:val="x-none" w:eastAsia="x-none" w:bidi="ar-SA"/>
    </w:rPr>
  </w:style>
  <w:style w:type="paragraph" w:styleId="a5">
    <w:name w:val="header"/>
    <w:basedOn w:val="a"/>
    <w:rsid w:val="00D176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76AF"/>
  </w:style>
  <w:style w:type="paragraph" w:styleId="a7">
    <w:name w:val="footer"/>
    <w:basedOn w:val="a"/>
    <w:rsid w:val="00D176AF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424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1F1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FA1F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qFormat/>
    <w:rsid w:val="00FA1F1A"/>
    <w:rPr>
      <w:b/>
      <w:bCs/>
    </w:rPr>
  </w:style>
  <w:style w:type="paragraph" w:customStyle="1" w:styleId="ConsPlusNonformat">
    <w:name w:val="ConsPlusNonformat"/>
    <w:rsid w:val="00FA1F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rsid w:val="00FA1F1A"/>
    <w:pPr>
      <w:ind w:firstLine="720"/>
      <w:jc w:val="both"/>
    </w:pPr>
    <w:rPr>
      <w:b/>
      <w:sz w:val="28"/>
      <w:szCs w:val="20"/>
    </w:rPr>
  </w:style>
  <w:style w:type="paragraph" w:styleId="20">
    <w:name w:val="Body Text Indent 2"/>
    <w:basedOn w:val="a"/>
    <w:rsid w:val="00FA1F1A"/>
    <w:pPr>
      <w:spacing w:after="120" w:line="480" w:lineRule="auto"/>
      <w:ind w:left="283"/>
    </w:pPr>
  </w:style>
  <w:style w:type="paragraph" w:styleId="ad">
    <w:name w:val="Body Text"/>
    <w:basedOn w:val="a"/>
    <w:rsid w:val="00FA1F1A"/>
    <w:pPr>
      <w:spacing w:after="120"/>
    </w:pPr>
  </w:style>
  <w:style w:type="paragraph" w:customStyle="1" w:styleId="ae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First Indent 2"/>
    <w:basedOn w:val="ac"/>
    <w:rsid w:val="00FA1F1A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af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Title"/>
    <w:basedOn w:val="a"/>
    <w:qFormat/>
    <w:rsid w:val="00FA1F1A"/>
    <w:pPr>
      <w:jc w:val="center"/>
    </w:pPr>
    <w:rPr>
      <w:sz w:val="28"/>
      <w:szCs w:val="20"/>
    </w:rPr>
  </w:style>
  <w:style w:type="paragraph" w:customStyle="1" w:styleId="11">
    <w:name w:val="Знак1 Знак Знак Знак Знак Знак Знак Знак Знак Знак"/>
    <w:basedOn w:val="a"/>
    <w:rsid w:val="00FA1F1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semiHidden/>
    <w:rsid w:val="00E82AE2"/>
    <w:rPr>
      <w:sz w:val="16"/>
      <w:szCs w:val="16"/>
    </w:rPr>
  </w:style>
  <w:style w:type="paragraph" w:styleId="af2">
    <w:name w:val="annotation text"/>
    <w:basedOn w:val="a"/>
    <w:semiHidden/>
    <w:rsid w:val="00E82AE2"/>
    <w:rPr>
      <w:sz w:val="20"/>
      <w:szCs w:val="20"/>
    </w:rPr>
  </w:style>
  <w:style w:type="paragraph" w:styleId="af3">
    <w:name w:val="Balloon Text"/>
    <w:basedOn w:val="a"/>
    <w:semiHidden/>
    <w:rsid w:val="00E82A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5149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f4">
    <w:name w:val="annotation subject"/>
    <w:basedOn w:val="af2"/>
    <w:next w:val="af2"/>
    <w:semiHidden/>
    <w:rsid w:val="00E23104"/>
    <w:rPr>
      <w:b/>
      <w:bCs/>
    </w:rPr>
  </w:style>
  <w:style w:type="paragraph" w:styleId="12">
    <w:name w:val="toc 1"/>
    <w:basedOn w:val="a"/>
    <w:next w:val="a"/>
    <w:autoRedefine/>
    <w:rsid w:val="008E4DF3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customStyle="1" w:styleId="13">
    <w:name w:val="Знак1"/>
    <w:basedOn w:val="a"/>
    <w:rsid w:val="00103A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Emphasis"/>
    <w:uiPriority w:val="20"/>
    <w:qFormat/>
    <w:rsid w:val="00556A90"/>
    <w:rPr>
      <w:i/>
      <w:iCs/>
    </w:rPr>
  </w:style>
  <w:style w:type="paragraph" w:styleId="af6">
    <w:name w:val="List Paragraph"/>
    <w:basedOn w:val="a"/>
    <w:uiPriority w:val="34"/>
    <w:qFormat/>
    <w:rsid w:val="00F625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62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xt-justif">
    <w:name w:val="text-justif"/>
    <w:basedOn w:val="a"/>
    <w:rsid w:val="006862D3"/>
    <w:pPr>
      <w:spacing w:before="100" w:beforeAutospacing="1" w:after="100" w:afterAutospacing="1"/>
    </w:pPr>
  </w:style>
  <w:style w:type="character" w:customStyle="1" w:styleId="oznaimen">
    <w:name w:val="oz_naimen"/>
    <w:basedOn w:val="a0"/>
    <w:rsid w:val="00686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7570B-2063-4C33-8F3D-3D4972F9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4670</Words>
  <Characters>26623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31231</CharactersWithSpaces>
  <SharedDoc>false</SharedDoc>
  <HLinks>
    <vt:vector size="12" baseType="variant">
      <vt:variant>
        <vt:i4>6357093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consultantplus://offline/ref=5E3003B72ACDB202BCBFCD23D1F50DB922DE8C685F1155C3EA19D09DCBCE27C1E38AED3BEC99626ED52A18457BA20A316DB2D9F03CB25C8Ad1X6F</vt:lpwstr>
      </vt:variant>
      <vt:variant>
        <vt:lpwstr/>
      </vt:variant>
      <vt:variant>
        <vt:i4>6357093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consultantplus://offline/ref=5E3003B72ACDB202BCBFCD23D1F50DB922DE8C685F1155C3EA19D09DCBCE27C1E38AED3BEC99626ED52A18457BA20A316DB2D9F03CB25C8Ad1X6F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Голубева Анна Игоревна</dc:creator>
  <cp:keywords/>
  <dc:description/>
  <cp:lastModifiedBy>Голубева Анна Игоревна</cp:lastModifiedBy>
  <cp:revision>2</cp:revision>
  <cp:lastPrinted>2023-11-13T05:10:00Z</cp:lastPrinted>
  <dcterms:created xsi:type="dcterms:W3CDTF">2023-11-22T00:21:00Z</dcterms:created>
  <dcterms:modified xsi:type="dcterms:W3CDTF">2023-11-22T00:21:00Z</dcterms:modified>
</cp:coreProperties>
</file>