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ПРЕДСТАВИТЕЛЬНОЕ СОБРАНИЕ ВЕРХОВАЖСКОГО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27.04.2023 года___№__34_____</w:t>
      </w:r>
      <w:r>
        <w:rPr>
          <w:b/>
          <w:bCs/>
        </w:rPr>
      </w:r>
      <w:r/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42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с.Верховажье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109220</wp:posOffset>
                      </wp:positionV>
                      <wp:extent cx="274955" cy="635"/>
                      <wp:effectExtent l="11430" t="8890" r="8890" b="9525"/>
                      <wp:wrapNone/>
                      <wp:docPr id="1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74953" cy="63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0" o:spid="_x0000_s0" style="position:absolute;left:0;text-align:left;z-index:251659264;mso-wrap-distance-left:9.0pt;mso-wrap-distance-top:0.0pt;mso-wrap-distance-right:9.0pt;mso-wrap-distance-bottom:0.0pt;visibility:visible;" from="264.7pt,8.6pt" to="286.3pt,8.7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109855</wp:posOffset>
                      </wp:positionV>
                      <wp:extent cx="635" cy="183515"/>
                      <wp:effectExtent l="9525" t="10160" r="8890" b="6350"/>
                      <wp:wrapNone/>
                      <wp:docPr id="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3" cy="1835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60288;mso-wrap-distance-left:9.0pt;mso-wrap-distance-top:0.0pt;mso-wrap-distance-right:9.0pt;mso-wrap-distance-bottom:0.0pt;visibility:visible;" from="284.7pt,8.7pt" to="284.8pt,23.1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109855</wp:posOffset>
                      </wp:positionV>
                      <wp:extent cx="635" cy="183515"/>
                      <wp:effectExtent l="6985" t="10160" r="11430" b="63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2" cy="183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" o:spid="_x0000_s2" style="position:absolute;left:0;text-align:left;z-index:251661312;mso-wrap-distance-left:9.0pt;mso-wrap-distance-top:0.0pt;mso-wrap-distance-right:9.0pt;mso-wrap-distance-bottom:0.0pt;visibility:visible;" from="-5.8pt,8.7pt" to="-5.7pt,23.1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109855</wp:posOffset>
                      </wp:positionV>
                      <wp:extent cx="634365" cy="603885"/>
                      <wp:effectExtent l="8890" t="10160" r="13970" b="14604"/>
                      <wp:wrapNone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60388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663360;o:allowoverlap:true;o:allowincell:true;mso-position-horizontal-relative:text;margin-left:-63.3pt;mso-position-horizontal:absolute;mso-position-vertical-relative:text;margin-top:8.7pt;mso-position-vertical:absolute;width:49.9pt;height:47.5pt;mso-wrap-distance-left:9.0pt;mso-wrap-distance-top:0.0pt;mso-wrap-distance-right:9.0pt;mso-wrap-distance-bottom:0.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одобрении проекта о внесение изменений в Устав Верховажского муниципального округа Вологодской области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consultantplus://offline/ref=F9C561D510823A1427FF9565E79E7D20D244E78816450805976148E2142C59573F1A90C1D90A94F59AE33C6CF3CBE1904B35900F2Dt7G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Федеральным законом от 06.02.2023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Верховажского муниципального округа Вологодской области, Представительное Собрание Верховажского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Одобрить проект решения «О внесении изменений в Устав Верховажского муниципального округа Вологодской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right="0" w:firstLine="567"/>
        <w:jc w:val="both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Настоящее решение вступает в силу после официального опубликования в печатном издании «Официальный вестник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округа» и подлежит размещению на официальном 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в информационно-телекоммуникационной сети Интернет.</w:t>
      </w:r>
      <w:r>
        <w:rPr>
          <w:sz w:val="28"/>
          <w:szCs w:val="28"/>
        </w:rPr>
      </w:r>
      <w:r/>
    </w:p>
    <w:p>
      <w:pPr>
        <w:ind w:right="-1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  <w:r>
        <w:rPr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Н.П.Бугаева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А.В.Дубо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ПРЕДСТАВИТЕЛЬНОЕ СОБРАНИЕ ВЕРХОВАЖСКОГО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-ПРОЕКТ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____________№_________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42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8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с.Верховажье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109220</wp:posOffset>
                      </wp:positionV>
                      <wp:extent cx="274955" cy="635"/>
                      <wp:effectExtent l="11430" t="8890" r="8890" b="952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74952" cy="6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4" style="position:absolute;left:0;text-align:left;z-index:251659264;mso-wrap-distance-left:9.0pt;mso-wrap-distance-top:0.0pt;mso-wrap-distance-right:9.0pt;mso-wrap-distance-bottom:0.0pt;visibility:visible;" from="264.7pt,8.6pt" to="286.3pt,8.7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109855</wp:posOffset>
                      </wp:positionV>
                      <wp:extent cx="635" cy="183515"/>
                      <wp:effectExtent l="9525" t="10160" r="8890" b="6350"/>
                      <wp:wrapNone/>
                      <wp:docPr id="6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2" cy="183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5" o:spid="_x0000_s5" style="position:absolute;left:0;text-align:left;z-index:251660288;mso-wrap-distance-left:9.0pt;mso-wrap-distance-top:0.0pt;mso-wrap-distance-right:9.0pt;mso-wrap-distance-bottom:0.0pt;visibility:visible;" from="284.7pt,8.7pt" to="284.8pt,23.1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109855</wp:posOffset>
                      </wp:positionV>
                      <wp:extent cx="635" cy="183515"/>
                      <wp:effectExtent l="6985" t="10160" r="11430" b="6350"/>
                      <wp:wrapNone/>
                      <wp:docPr id="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1" cy="18351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6" style="position:absolute;left:0;text-align:left;z-index:251661312;mso-wrap-distance-left:9.0pt;mso-wrap-distance-top:0.0pt;mso-wrap-distance-right:9.0pt;mso-wrap-distance-bottom:0.0pt;visibility:visible;" from="-5.8pt,8.7pt" to="-5.7pt,23.1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109855</wp:posOffset>
                      </wp:positionV>
                      <wp:extent cx="274955" cy="635"/>
                      <wp:effectExtent l="6985" t="10160" r="13335" b="8255"/>
                      <wp:wrapNone/>
                      <wp:docPr id="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74951" cy="63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7" o:spid="_x0000_s7" style="position:absolute;left:0;text-align:left;z-index:251662336;mso-wrap-distance-left:9.0pt;mso-wrap-distance-top:0.0pt;mso-wrap-distance-right:9.0pt;mso-wrap-distance-bottom:0.0pt;visibility:visible;" from="-5.8pt,8.7pt" to="15.9pt,8.7pt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109855</wp:posOffset>
                      </wp:positionV>
                      <wp:extent cx="634365" cy="603885"/>
                      <wp:effectExtent l="8890" t="10160" r="13970" b="14604"/>
                      <wp:wrapNone/>
                      <wp:docPr id="9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60388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8" o:spt="1" type="#_x0000_t1" style="position:absolute;z-index:251663360;o:allowoverlap:true;o:allowincell:true;mso-position-horizontal-relative:text;margin-left:-63.3pt;mso-position-horizontal:absolute;mso-position-vertical-relative:text;margin-top:8.7pt;mso-position-vertical:absolute;width:49.9pt;height:47.5pt;mso-wrap-distance-left:9.0pt;mso-wrap-distance-top:0.0pt;mso-wrap-distance-right:9.0pt;mso-wrap-distance-bottom:0.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Устав Верховажского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tooltip="consultantplus://offline/ref=F9C561D510823A1427FF9565E79E7D20D244E78816450805976148E2142C59573F1A90C1D90A94F59AE33C6CF3CBE1904B35900F2Dt7G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Федеральным законом от 06.02.2023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Верховажского муниципального округа Вологодской области, Представительное Собрание Верховажского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5"/>
        <w:ind w:left="0" w:right="0" w:firstLine="567"/>
        <w:jc w:val="both"/>
        <w:spacing w:after="0" w:afterAutospacing="0" w:line="240" w:lineRule="auto"/>
        <w:tabs>
          <w:tab w:val="left" w:pos="567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Устав Верховажского муниципального округа Вологодской области, согласно приложению к настоящему решению.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right="0" w:firstLine="567"/>
        <w:jc w:val="both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Направить настоящее решение для государственной регистрации в Управление Министерства юстиции Российской Федерации по Вол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огодской области в  порядке, установленным Федеральным законом от 21 июля 2005 года № 97-ФЗ «О государственной регистрации уставов муниципальных образований».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54"/>
        <w:ind w:left="0" w:right="0" w:firstLine="567"/>
        <w:jc w:val="both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подлежит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 опубликованию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печатном издании «Официальный вестник Верховажского муниципального округа и подлежит размещению на официальном сайте Верховажского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в информационно-телекоммуникационной сети 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после его государственной регистрации Управлением Министерства юстиции по Вологодской области в порядке, установленном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Федеральным законом от 21 июля 2005 года № 97-ФЗ «О государственной регистрации уставов муниципальных образований».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Представительного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Н.П.Бугаева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Верховажского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А.В.Дубо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2" w:right="-1" w:firstLine="0"/>
        <w:jc w:val="center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2" w:right="-1" w:firstLine="0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решению Представительного Собрания Верховажского муниципального округа Вологодской области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2" w:right="-1" w:firstLine="0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27.04.2023 года № 34</w:t>
      </w:r>
      <w:r/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center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 ВНОСИМЫЕ В УСТАВ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"/>
        <w:jc w:val="center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ВЕРХОВАЖСКОГО МУНИЦИПАЛЬНОГО ОКРУГА ВОЛОГОДСКОЙ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right="-1"/>
        <w:jc w:val="center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части 4 статьи 1 Устава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после слов «иных должностных лиц местного самоуправления,» дополнить словами «наградах и поощрениях муниципального округа».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пункте 30 части 1 статьи 6 и в части 5 стать 18 Устава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 тексту слова «генеральных планов» заменить словами «генерального плана».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Дополнить Устав статьей 8.1.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Статья  8.1.  Особенности осуществления полномочий по решению отдельных вопросов местного значения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 Полномочия по решению вопросов местного значения муниципального округа в сфере градостроительной деятельности осуществляются в соотве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тствии с законом Вологодской области от 15.12.2017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Части 2, 3 и пункт 1 части 4 статьи 17 Устава изложить в новой редакции: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«2.</w:t>
      </w:r>
      <w:r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(далее – староста) назначается Представительны</w:t>
      </w:r>
      <w:r>
        <w:rPr>
          <w:rFonts w:ascii="Times New Roman" w:hAnsi="Times New Roman" w:cs="Times New Roman"/>
          <w:sz w:val="28"/>
          <w:szCs w:val="28"/>
        </w:rPr>
        <w:t xml:space="preserve">м Собранием Верховажского муниципального округа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насе</w:t>
      </w:r>
      <w:r>
        <w:rPr>
          <w:rFonts w:ascii="Times New Roman" w:hAnsi="Times New Roman" w:cs="Times New Roman"/>
          <w:sz w:val="28"/>
          <w:szCs w:val="28"/>
        </w:rPr>
        <w:t xml:space="preserve">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«1)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замещающее государственную должность, должность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Дополнить Устав статьей 24.1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Статья 24.1. Лица, замещающие муниципальные должности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К лицам, замещающим муниципальные должности Верховажского муниципального округа Вологодской области, относятся: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1) глава Верховажского муниципального округа Вологодской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2) председатель Представительного Собрания Верховажского муниципального округа Вологодской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3) председатель контрольно-счетной комиссии Верховажского муниципального округа Вологодской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4) депутат Представительного Собрания Верховажского муниципального округа Вологодской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Статус лиц, замещающих муниципальные должности Верховажского муниципального округа Вологодской области (за исключением депутата Представительного Собрания Верховажского муни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ципального округа Вологодской области), определяется Положением о статусе лиц, замещающих муниципальные должности Верховажского муниципального округа, утверждаемым решением Представительного Собрания Верховажского муниципального округа Вологодской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Статус депутата Представительного Собрания Верховажского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Вологодской области, определяется Положением о статусе депутата Представительного Собрания Верховажского муниципального округа Вологодской области, утверждаемым решением Представительного Собрания Верховажского муниципального округа Вологодской области.».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6. С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татью 32 Устава дополнить частью 2.1.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«2.1. Полномочия депутата Представительного Собрания Верховажского муниципального округа прекра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щаются досрочно решением Представительного Собрания Верховажского муниципального округа в случае отсутствия депутата без уважительных причин на всех заседаниях Представительного Собрания Верховажского муниципального округа в течение шести месяцев подряд.».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7. Пункт 4 части 4 статьи 32 Устава изложить в новой редакции: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по основанию, указанному в пункте 2 части 1, части 2.1. Настоящей статьи, – со дня,определяемого решением Представительного Собрания Верховажского муниципального округа о досрочном прекращении полномочий депутата Представительного Собрания Верховажского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муниципального округа.».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Дополнить статьей 33.1. Устава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33.1. Гарантии главам муниципальных образований, правопреемником которых является Верховажский муниципальный округ Вологодской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Главам муниципальных образований, утратившим  свой статус 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язи с преобразованием, произведенными законами области от 08.04.2009 года № 1996-ОЗ «О преобразовании некоторых муниципальных образований Верховажского муниципального района Вологодской области»,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25.06.2015 года № 3693-ОЗ "О преобразовании некоторых муниципальных образований Верховажского муниципального района и о внесении изменений в закон области "Об установлении границ Верховажского муниципального райо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на, границах и статусе муниципальных образований, входящих в его состав",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от 25.12.2015 года № 3845-ОЗ "О преобразовании некоторых муниципальных образований Верховажского муниципального района и о внесении изменений в закон области "Об установлении границ Верховажского муниципального района, границах и статусе мун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иципальных образований, входящих в его состав",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10.04.2017 года № 4127-ОЗ "О преобразовании некоторых муниципальных образований Верховажского муниципального района и о внесении изменений в закон области "Об установлении границ Верховажского муниципального района, границах и статусе мун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иципальных образований, входящих в его состав"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соответствии с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законом Вологодской области от 26.12.2007 года № 1728-ОЗ «О некоторых гарантиях осуществления полномочий глав муниципальных обр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азований Вологодской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которым назначена доплата к пенсии, гарантируется ее выплата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установленных размерах, которые были ранее определены Уставами муниципальных образований.</w:t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Главам муниципальных образований, утратившим свой статус в связи с преобр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азованием, 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роизведенным законом Вологодской области от 06.05.2022 года № 5121-ОЗ «О преобразовании всех поселений, входящих в состав Верховажского муниципального района Вологодской области, путем их объединения, наделении вновь образованного муниципального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 статусом муниципального округа и установлении границ Верховажского муниципального округа Вологодской области» в соответствии с законом Вологодской области от 26.12.2007 года № 1728-ОЗ «О некоторых гарантиях осуществления полномочий глав муниципальных обр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азований Вологодской области» (далее главы муниципальных образо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ваний) гарантируется право на установление доплаты к пенсии в размере 30 процентов от размера заработной платы (оплаты труда)  на момент прекращения полномочий главы муниципального образования, но не ниже установленного минимального размера закона области.</w:t>
      </w:r>
      <w:r/>
    </w:p>
    <w:p>
      <w:pPr>
        <w:ind w:left="0" w:right="-1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обращения, назначения и выплаты доплаты к пенсии главам муниципальных образований определяется Представительным Собранием Верховажского муниципального округа с учетом положений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закона Вологодской области от 26.12.2007 года № 1728-ОЗ «О некоторых гарантиях осуществления полномочий глав муниципальных обр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азований Вологодской области».».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-1" w:firstLine="567"/>
        <w:jc w:val="both"/>
        <w:spacing w:after="0" w:afterAutospacing="0" w:line="240" w:lineRule="auto"/>
        <w:tabs>
          <w:tab w:val="left" w:pos="7185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848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497" w:hanging="93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221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314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443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536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66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794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887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10167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  <w:style w:type="paragraph" w:styleId="85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color w:val="auto"/>
      <w:spacing w:val="0"/>
      <w:position w:val="0"/>
      <w:sz w:val="20"/>
      <w:szCs w:val="22"/>
      <w:highlight w:val="none"/>
      <w:u w:val="none"/>
      <w:vertAlign w:val="baseline"/>
      <w:lang w:val="ru-RU" w:eastAsia="ru-RU" w:bidi="ar-SA"/>
      <w14:ligatures w14:val="none"/>
    </w:rPr>
  </w:style>
  <w:style w:type="paragraph" w:styleId="85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color w:val="auto"/>
      <w:spacing w:val="0"/>
      <w:position w:val="0"/>
      <w:sz w:val="20"/>
      <w:szCs w:val="22"/>
      <w:highlight w:val="none"/>
      <w:u w:val="none"/>
      <w:vertAlign w:val="baseline"/>
      <w:lang w:val="ru-RU" w:eastAsia="ru-RU" w:bidi="ar-SA"/>
      <w14:ligatures w14:val="none"/>
    </w:rPr>
  </w:style>
  <w:style w:type="paragraph" w:styleId="85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Strong"/>
    <w:qFormat/>
    <w:rPr>
      <w:b/>
      <w:bCs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1"/>
      <w:highlight w:val="none"/>
      <w:u w:val="none"/>
      <w:vertAlign w:val="baseline"/>
      <w:rtl w:val="0"/>
      <w:cs w:val="0"/>
      <w:lang w:val="ru-RU" w:eastAsia="hi-IN" w:bidi="hi-IN"/>
      <w14:ligatures w14:val="none"/>
    </w:rPr>
  </w:style>
  <w:style w:type="character" w:styleId="860" w:customStyle="1">
    <w:name w:val="Строгий"/>
    <w:next w:val="681"/>
    <w:uiPriority w:val="99"/>
    <w:qFormat/>
    <w:rPr>
      <w:rFonts w:ascii="Times New Roman" w:hAnsi="Times New Roman" w:cs="Times New Roman"/>
      <w:b/>
      <w:bCs/>
    </w:rPr>
  </w:style>
  <w:style w:type="paragraph" w:styleId="861" w:customStyle="1">
    <w:name w:val="Обычный (веб)"/>
    <w:next w:val="68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7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2" w:customStyle="1">
    <w:name w:val="Гиперссылка"/>
    <w:rPr>
      <w:color w:val="0000ff"/>
      <w:u w:val="single"/>
    </w:rPr>
  </w:style>
  <w:style w:type="paragraph" w:styleId="86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Normal (Web)"/>
    <w:basedOn w:val="69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Абзац списка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6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F9C561D510823A1427FF9565E79E7D20D244E78816450805976148E2142C59573F1A90C1D90A94F59AE33C6CF3CBE1904B35900F2Dt7G" TargetMode="External"/><Relationship Id="rId10" Type="http://schemas.openxmlformats.org/officeDocument/2006/relationships/hyperlink" Target="consultantplus://offline/ref=F9C561D510823A1427FF9565E79E7D20D244E78816450805976148E2142C59573F1A90C1D90A94F59AE33C6CF3CBE1904B35900F2Dt7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2023-04-28T09:19:53Z</dcterms:modified>
</cp:coreProperties>
</file>